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6877D" w14:textId="63F75DD5" w:rsidR="009E11F7" w:rsidRDefault="000501F0" w:rsidP="00F80F0D">
      <w:pPr>
        <w:pStyle w:val="Title"/>
        <w:spacing w:before="720"/>
      </w:pPr>
      <w:sdt>
        <w:sdtPr>
          <w:rPr>
            <w:sz w:val="28"/>
            <w:szCs w:val="28"/>
          </w:rPr>
          <w:alias w:val="Titles - Title"/>
          <w:tag w:val="Ppyc7FjJog1LOR8q5Gy3v8-JJrK6EjdCK24Ly9VRC86e4"/>
          <w:id w:val="417906183"/>
          <w:placeholder>
            <w:docPart w:val="408F283D3F7A4DAB98C81059ED8FFFE4"/>
          </w:placeholder>
          <w:dataBinding w:prefixMappings="xmlns:cp=&quot;http://schemas.openxmlformats.org/package/2006/metadata/core-properties&quot; xmlns:dc=&quot;http://purl.org/dc/elements/1.1/&quot; xmlns:dcterms=&quot;http://purl.org/dc/terms/&quot;" w:xpath="/cp:coreProperties[1]/dc:title[1]" w:storeItemID="{6C3C8BC8-F283-45AE-878A-BAB7291924A1}"/>
          <w:text w:multiLine="1"/>
        </w:sdtPr>
        <w:sdtEndPr/>
        <w:sdtContent>
          <w:r w:rsidR="00ED0B7C">
            <w:rPr>
              <w:sz w:val="28"/>
              <w:szCs w:val="28"/>
            </w:rPr>
            <w:t>Note agreed by</w:t>
          </w:r>
          <w:r w:rsidR="00ED0B7C" w:rsidRPr="009E11F7">
            <w:rPr>
              <w:sz w:val="28"/>
              <w:szCs w:val="28"/>
            </w:rPr>
            <w:t xml:space="preserve"> Member States’ Competent Authorities for biocidal products</w:t>
          </w:r>
          <w:r w:rsidR="00ED0B7C">
            <w:rPr>
              <w:sz w:val="28"/>
              <w:szCs w:val="28"/>
            </w:rPr>
            <w:br/>
          </w:r>
          <w:r w:rsidR="00ED0B7C">
            <w:rPr>
              <w:sz w:val="28"/>
              <w:szCs w:val="28"/>
            </w:rPr>
            <w:br/>
            <w:t>Note for Guidance</w:t>
          </w:r>
        </w:sdtContent>
      </w:sdt>
    </w:p>
    <w:p w14:paraId="67387F21" w14:textId="77777777" w:rsidR="00696FFE" w:rsidRPr="00EF7BCA" w:rsidRDefault="00696FFE" w:rsidP="00696FFE">
      <w:pPr>
        <w:pBdr>
          <w:top w:val="single" w:sz="4" w:space="1" w:color="auto"/>
          <w:left w:val="single" w:sz="4" w:space="4" w:color="auto"/>
          <w:bottom w:val="single" w:sz="4" w:space="1" w:color="auto"/>
          <w:right w:val="single" w:sz="4" w:space="4" w:color="auto"/>
        </w:pBdr>
        <w:spacing w:after="360"/>
        <w:rPr>
          <w:lang w:eastAsia="en-US"/>
        </w:rPr>
      </w:pPr>
      <w:r w:rsidRPr="00EF7BCA">
        <w:rPr>
          <w:i/>
          <w:lang w:eastAsia="en-US"/>
        </w:rPr>
        <w:t>This document is drafted in the interest of consistency of the implementation of Regulation (EU) No 528/2012 and with the aim of finding an agreement between Member States' Competent Authorities for biocidal products on a harmonised approach. Please note, however, it does not represent the official position of the Commission and that Member States are not legally obliged to follow the approach set out in this document, since only the Court of Justice of the European Union can give authoritative interpretations on the contents of Union law.</w:t>
      </w:r>
    </w:p>
    <w:p w14:paraId="7D720215" w14:textId="77777777" w:rsidR="00696FFE" w:rsidRPr="00696FFE" w:rsidRDefault="00696FFE" w:rsidP="00696FFE">
      <w:pPr>
        <w:spacing w:after="160" w:line="259" w:lineRule="auto"/>
        <w:jc w:val="left"/>
        <w:rPr>
          <w:rFonts w:eastAsiaTheme="minorHAnsi"/>
          <w:b/>
          <w:szCs w:val="24"/>
          <w:lang w:eastAsia="en-US"/>
        </w:rPr>
      </w:pPr>
      <w:r w:rsidRPr="00696FFE">
        <w:rPr>
          <w:rFonts w:eastAsiaTheme="minorHAnsi"/>
          <w:b/>
          <w:szCs w:val="24"/>
          <w:lang w:eastAsia="en-US"/>
        </w:rPr>
        <w:t>Subject: Implementing the concept of biocidal product family</w:t>
      </w:r>
    </w:p>
    <w:p w14:paraId="19C6CB74" w14:textId="77777777" w:rsidR="002B01A2" w:rsidRDefault="00696FFE" w:rsidP="009E11F7">
      <w:pPr>
        <w:pStyle w:val="Heading1"/>
        <w:rPr>
          <w:rFonts w:eastAsiaTheme="minorHAnsi"/>
          <w:lang w:eastAsia="en-US"/>
        </w:rPr>
      </w:pPr>
      <w:r w:rsidRPr="00696FFE">
        <w:rPr>
          <w:rFonts w:eastAsiaTheme="minorHAnsi"/>
          <w:lang w:eastAsia="en-US"/>
        </w:rPr>
        <w:t>Background and purpose of the documen</w:t>
      </w:r>
      <w:r w:rsidR="009E11F7">
        <w:rPr>
          <w:rFonts w:eastAsiaTheme="minorHAnsi"/>
          <w:lang w:eastAsia="en-US"/>
        </w:rPr>
        <w:t>t</w:t>
      </w:r>
    </w:p>
    <w:p w14:paraId="7A77E34D" w14:textId="77777777" w:rsidR="00217B05" w:rsidRDefault="00217B05" w:rsidP="00954BBB">
      <w:pPr>
        <w:pStyle w:val="ListNumber"/>
        <w:rPr>
          <w:lang w:eastAsia="en-US"/>
        </w:rPr>
      </w:pPr>
      <w:r>
        <w:rPr>
          <w:lang w:eastAsia="en-US"/>
        </w:rPr>
        <w:t>In 2014, a workshop organised by industry gathered experts from Member States</w:t>
      </w:r>
      <w:r w:rsidR="00EB7D64">
        <w:rPr>
          <w:lang w:eastAsia="en-US"/>
        </w:rPr>
        <w:t xml:space="preserve">, </w:t>
      </w:r>
      <w:r>
        <w:rPr>
          <w:lang w:eastAsia="en-US"/>
        </w:rPr>
        <w:t>industry</w:t>
      </w:r>
      <w:r w:rsidR="00EB7D64">
        <w:rPr>
          <w:lang w:eastAsia="en-US"/>
        </w:rPr>
        <w:t xml:space="preserve"> and the Commission to reflect on a common understanding o</w:t>
      </w:r>
      <w:r w:rsidR="008D14D0">
        <w:rPr>
          <w:lang w:eastAsia="en-US"/>
        </w:rPr>
        <w:t>f</w:t>
      </w:r>
      <w:r w:rsidR="00EB7D64">
        <w:rPr>
          <w:lang w:eastAsia="en-US"/>
        </w:rPr>
        <w:t xml:space="preserve"> the Biocidal Products Family (BPF) concept.</w:t>
      </w:r>
    </w:p>
    <w:p w14:paraId="6457E9B8" w14:textId="77777777" w:rsidR="00217B05" w:rsidRPr="00217B05" w:rsidRDefault="00217B05" w:rsidP="00954BBB">
      <w:pPr>
        <w:pStyle w:val="ListNumber"/>
        <w:rPr>
          <w:lang w:eastAsia="en-US"/>
        </w:rPr>
      </w:pPr>
      <w:r>
        <w:rPr>
          <w:lang w:eastAsia="en-US"/>
        </w:rPr>
        <w:t>Th</w:t>
      </w:r>
      <w:r w:rsidR="00E176BF">
        <w:rPr>
          <w:lang w:eastAsia="en-US"/>
        </w:rPr>
        <w:t xml:space="preserve">e </w:t>
      </w:r>
      <w:r>
        <w:rPr>
          <w:lang w:eastAsia="en-US"/>
        </w:rPr>
        <w:t xml:space="preserve">workshop was followed by the preparation of a Note for Guidance </w:t>
      </w:r>
      <w:r>
        <w:rPr>
          <w:szCs w:val="24"/>
        </w:rPr>
        <w:t>“Implementing the new concept of biocidal product families”</w:t>
      </w:r>
      <w:r>
        <w:rPr>
          <w:rStyle w:val="FootnoteReference"/>
          <w:szCs w:val="24"/>
        </w:rPr>
        <w:footnoteReference w:id="1"/>
      </w:r>
      <w:r>
        <w:rPr>
          <w:szCs w:val="24"/>
        </w:rPr>
        <w:t xml:space="preserve"> </w:t>
      </w:r>
      <w:r>
        <w:rPr>
          <w:lang w:eastAsia="en-US"/>
        </w:rPr>
        <w:t>that was endorsed at the 58</w:t>
      </w:r>
      <w:r w:rsidRPr="00217B05">
        <w:rPr>
          <w:vertAlign w:val="superscript"/>
          <w:lang w:eastAsia="en-US"/>
        </w:rPr>
        <w:t>th</w:t>
      </w:r>
      <w:r>
        <w:rPr>
          <w:lang w:eastAsia="en-US"/>
        </w:rPr>
        <w:t xml:space="preserve"> CA meeting in November 2014. </w:t>
      </w:r>
      <w:r w:rsidR="00EB7D64">
        <w:rPr>
          <w:lang w:eastAsia="en-US"/>
        </w:rPr>
        <w:t xml:space="preserve">The objective was to set the frame for how to decide whether two or more products can be included in </w:t>
      </w:r>
      <w:r w:rsidR="00D05980">
        <w:rPr>
          <w:lang w:eastAsia="en-US"/>
        </w:rPr>
        <w:t xml:space="preserve">a </w:t>
      </w:r>
      <w:r w:rsidR="00EB7D64">
        <w:rPr>
          <w:lang w:eastAsia="en-US"/>
        </w:rPr>
        <w:t>family based on similar levels of efficacy and risks.</w:t>
      </w:r>
    </w:p>
    <w:p w14:paraId="1BAE35A7" w14:textId="77777777" w:rsidR="00662401" w:rsidRPr="00733662" w:rsidRDefault="009E11F7" w:rsidP="00954BBB">
      <w:pPr>
        <w:pStyle w:val="ListNumber"/>
        <w:rPr>
          <w:lang w:eastAsia="en-US"/>
        </w:rPr>
      </w:pPr>
      <w:r>
        <w:rPr>
          <w:szCs w:val="24"/>
        </w:rPr>
        <w:t>Following discussions at Coordination Group (CG) meetings on the scope of biocidal product families (BPFs), Member States agreed that clarification on certain aspects of the Note for Guidance</w:t>
      </w:r>
      <w:r>
        <w:rPr>
          <w:szCs w:val="24"/>
          <w:vertAlign w:val="superscript"/>
        </w:rPr>
        <w:t xml:space="preserve"> </w:t>
      </w:r>
      <w:r>
        <w:rPr>
          <w:szCs w:val="24"/>
        </w:rPr>
        <w:t>was required</w:t>
      </w:r>
      <w:r w:rsidR="00662401">
        <w:rPr>
          <w:szCs w:val="24"/>
        </w:rPr>
        <w:t xml:space="preserve"> in order to allow applicants to submit more robust and predictable applications and limit as far as possible the resources and time required to evaluate those applications</w:t>
      </w:r>
      <w:r w:rsidR="00733662">
        <w:rPr>
          <w:szCs w:val="24"/>
        </w:rPr>
        <w:t>.</w:t>
      </w:r>
    </w:p>
    <w:p w14:paraId="054CFA2C" w14:textId="77777777" w:rsidR="00733662" w:rsidRPr="003D4A84" w:rsidRDefault="00733662" w:rsidP="00954BBB">
      <w:pPr>
        <w:pStyle w:val="ListNumber"/>
        <w:rPr>
          <w:lang w:eastAsia="en-US"/>
        </w:rPr>
      </w:pPr>
      <w:r>
        <w:t>During the CG-22 meeting in March 2017, CG members decided to organise a Working Party (WP) to support the updating of the Note for Guidance.</w:t>
      </w:r>
    </w:p>
    <w:p w14:paraId="75262DCB" w14:textId="77777777" w:rsidR="003D4A84" w:rsidRPr="003D4A84" w:rsidRDefault="003D4A84" w:rsidP="00954BBB">
      <w:pPr>
        <w:pStyle w:val="ListNumber"/>
        <w:rPr>
          <w:lang w:eastAsia="en-US"/>
        </w:rPr>
      </w:pPr>
      <w:r>
        <w:t>At the CG-24 meeting in July 2017, the CG mandated</w:t>
      </w:r>
      <w:r w:rsidR="00AA6824">
        <w:rPr>
          <w:rStyle w:val="FootnoteReference"/>
          <w:szCs w:val="24"/>
        </w:rPr>
        <w:footnoteReference w:id="2"/>
      </w:r>
      <w:r>
        <w:t xml:space="preserve"> the WP to clarify the issue of ‘similarity’ and </w:t>
      </w:r>
      <w:r w:rsidR="00AA6824">
        <w:t xml:space="preserve">provide the Commission with </w:t>
      </w:r>
      <w:r w:rsidR="00C16CA8">
        <w:t>recommendations</w:t>
      </w:r>
      <w:r w:rsidR="00AA6824">
        <w:t xml:space="preserve"> that   </w:t>
      </w:r>
      <w:r w:rsidR="00C47070">
        <w:t xml:space="preserve">could help the smooth application of the BPF </w:t>
      </w:r>
      <w:r w:rsidR="008D14D0">
        <w:t>concept and the revision of the Note for Guidance</w:t>
      </w:r>
      <w:r w:rsidR="00C47070">
        <w:t>.</w:t>
      </w:r>
    </w:p>
    <w:p w14:paraId="54B7AD58" w14:textId="77777777" w:rsidR="009E11F7" w:rsidRDefault="00525CE3" w:rsidP="00954BBB">
      <w:pPr>
        <w:pStyle w:val="ListNumber"/>
        <w:rPr>
          <w:lang w:eastAsia="en-US"/>
        </w:rPr>
      </w:pPr>
      <w:r>
        <w:rPr>
          <w:lang w:eastAsia="en-US"/>
        </w:rPr>
        <w:t xml:space="preserve">This note </w:t>
      </w:r>
      <w:r w:rsidR="00F1599B">
        <w:rPr>
          <w:lang w:eastAsia="en-US"/>
        </w:rPr>
        <w:t xml:space="preserve">gathers the elements </w:t>
      </w:r>
      <w:r w:rsidR="00F64DD2">
        <w:rPr>
          <w:lang w:eastAsia="en-US"/>
        </w:rPr>
        <w:t xml:space="preserve">developed </w:t>
      </w:r>
      <w:r w:rsidR="00F1599B">
        <w:rPr>
          <w:lang w:eastAsia="en-US"/>
        </w:rPr>
        <w:t xml:space="preserve">by the WP under the CG mandate. It </w:t>
      </w:r>
      <w:r w:rsidR="00F64DD2">
        <w:rPr>
          <w:lang w:eastAsia="en-US"/>
        </w:rPr>
        <w:t>a</w:t>
      </w:r>
      <w:r>
        <w:rPr>
          <w:lang w:eastAsia="en-US"/>
        </w:rPr>
        <w:t>ddress</w:t>
      </w:r>
      <w:r w:rsidR="00F64DD2">
        <w:rPr>
          <w:lang w:eastAsia="en-US"/>
        </w:rPr>
        <w:t>es</w:t>
      </w:r>
      <w:r>
        <w:rPr>
          <w:lang w:eastAsia="en-US"/>
        </w:rPr>
        <w:t xml:space="preserve"> regulatory aspects t</w:t>
      </w:r>
      <w:r w:rsidR="00F64DD2">
        <w:rPr>
          <w:lang w:eastAsia="en-US"/>
        </w:rPr>
        <w:t xml:space="preserve">hat need to </w:t>
      </w:r>
      <w:r>
        <w:rPr>
          <w:lang w:eastAsia="en-US"/>
        </w:rPr>
        <w:t xml:space="preserve">be considered by prospective </w:t>
      </w:r>
      <w:r>
        <w:rPr>
          <w:lang w:eastAsia="en-US"/>
        </w:rPr>
        <w:lastRenderedPageBreak/>
        <w:t>applicants and CAs in relation to the authorisation of biocidal products grouped in a family.</w:t>
      </w:r>
    </w:p>
    <w:p w14:paraId="2581F8B0" w14:textId="09E4AE8A" w:rsidR="00525CE3" w:rsidRDefault="00525CE3" w:rsidP="00954BBB">
      <w:pPr>
        <w:pStyle w:val="ListNumber"/>
        <w:rPr>
          <w:lang w:eastAsia="en-US"/>
        </w:rPr>
      </w:pPr>
      <w:r>
        <w:rPr>
          <w:lang w:eastAsia="en-US"/>
        </w:rPr>
        <w:t xml:space="preserve">This note includes in Annex </w:t>
      </w:r>
      <w:r w:rsidR="004E397E">
        <w:rPr>
          <w:lang w:eastAsia="en-US"/>
        </w:rPr>
        <w:t>VII</w:t>
      </w:r>
      <w:r w:rsidR="0085556B">
        <w:rPr>
          <w:lang w:eastAsia="en-US"/>
        </w:rPr>
        <w:t>I</w:t>
      </w:r>
      <w:r w:rsidRPr="008D14D0">
        <w:rPr>
          <w:lang w:eastAsia="en-US"/>
        </w:rPr>
        <w:t xml:space="preserve"> th</w:t>
      </w:r>
      <w:r>
        <w:rPr>
          <w:lang w:eastAsia="en-US"/>
        </w:rPr>
        <w:t xml:space="preserve">e possibility of adding Q&amp;A pairs about issues raised by evaluating bodies when dealing with BPF applications and </w:t>
      </w:r>
      <w:r w:rsidR="0092216C">
        <w:rPr>
          <w:lang w:eastAsia="en-US"/>
        </w:rPr>
        <w:t xml:space="preserve">how the CG (either through e-consultation or at CG meetings) will have addressed them. The </w:t>
      </w:r>
      <w:r w:rsidR="000F6B13">
        <w:rPr>
          <w:lang w:eastAsia="en-US"/>
        </w:rPr>
        <w:t xml:space="preserve">CA meetings will </w:t>
      </w:r>
      <w:r w:rsidR="00C3210A">
        <w:rPr>
          <w:lang w:eastAsia="en-US"/>
        </w:rPr>
        <w:t xml:space="preserve">discuss the CG suggestions and </w:t>
      </w:r>
      <w:r w:rsidR="00BD2F9F">
        <w:rPr>
          <w:lang w:eastAsia="en-US"/>
        </w:rPr>
        <w:t xml:space="preserve">include them in Annex VIII when they are </w:t>
      </w:r>
      <w:r w:rsidR="00C3210A">
        <w:rPr>
          <w:lang w:eastAsia="en-US"/>
        </w:rPr>
        <w:t>agreed</w:t>
      </w:r>
      <w:r w:rsidR="000F6B13">
        <w:rPr>
          <w:lang w:eastAsia="en-US"/>
        </w:rPr>
        <w:t>.</w:t>
      </w:r>
      <w:r>
        <w:rPr>
          <w:lang w:eastAsia="en-US"/>
        </w:rPr>
        <w:t xml:space="preserve"> </w:t>
      </w:r>
    </w:p>
    <w:p w14:paraId="062E4B1D" w14:textId="77777777" w:rsidR="000F6B13" w:rsidRDefault="00526BF1" w:rsidP="00526BF1">
      <w:pPr>
        <w:pStyle w:val="Heading1"/>
        <w:rPr>
          <w:lang w:eastAsia="en-US"/>
        </w:rPr>
      </w:pPr>
      <w:r>
        <w:rPr>
          <w:lang w:eastAsia="en-US"/>
        </w:rPr>
        <w:t>Relevant provisions in the BPR and proposed way forward</w:t>
      </w:r>
    </w:p>
    <w:p w14:paraId="39043C7A" w14:textId="77777777" w:rsidR="00526BF1" w:rsidRPr="00735F9F" w:rsidRDefault="008C3991" w:rsidP="00954BBB">
      <w:pPr>
        <w:pStyle w:val="ListNumber"/>
        <w:rPr>
          <w:lang w:eastAsia="en-US"/>
        </w:rPr>
      </w:pPr>
      <w:r>
        <w:rPr>
          <w:lang w:eastAsia="en-US"/>
        </w:rPr>
        <w:t xml:space="preserve">Article 3(1)(s) specifies that </w:t>
      </w:r>
      <w:r w:rsidRPr="00735F9F">
        <w:rPr>
          <w:lang w:eastAsia="en-US"/>
        </w:rPr>
        <w:t>a group of biocidal products having:</w:t>
      </w:r>
    </w:p>
    <w:p w14:paraId="7290DCD9" w14:textId="77777777" w:rsidR="008C3991" w:rsidRPr="00735F9F" w:rsidRDefault="008C3991" w:rsidP="00E859AC">
      <w:pPr>
        <w:pStyle w:val="ListNumber1Level2"/>
        <w:spacing w:after="120"/>
        <w:rPr>
          <w:lang w:eastAsia="en-US"/>
        </w:rPr>
      </w:pPr>
      <w:r w:rsidRPr="00735F9F">
        <w:rPr>
          <w:lang w:eastAsia="en-US"/>
        </w:rPr>
        <w:t>Similar uses;</w:t>
      </w:r>
    </w:p>
    <w:p w14:paraId="3A756A71" w14:textId="77777777" w:rsidR="008C3991" w:rsidRPr="00735F9F" w:rsidRDefault="008C3991" w:rsidP="00E859AC">
      <w:pPr>
        <w:pStyle w:val="ListNumber1Level2"/>
        <w:spacing w:after="120"/>
        <w:rPr>
          <w:lang w:eastAsia="en-US"/>
        </w:rPr>
      </w:pPr>
      <w:r w:rsidRPr="00735F9F">
        <w:rPr>
          <w:lang w:eastAsia="en-US"/>
        </w:rPr>
        <w:t>The same active substances,</w:t>
      </w:r>
    </w:p>
    <w:p w14:paraId="45814366" w14:textId="77777777" w:rsidR="008C3991" w:rsidRPr="00735F9F" w:rsidRDefault="008C3991" w:rsidP="00E859AC">
      <w:pPr>
        <w:pStyle w:val="ListNumber1Level2"/>
        <w:spacing w:after="120"/>
        <w:rPr>
          <w:lang w:eastAsia="en-US"/>
        </w:rPr>
      </w:pPr>
      <w:r w:rsidRPr="00735F9F">
        <w:rPr>
          <w:lang w:eastAsia="en-US"/>
        </w:rPr>
        <w:t>Similar compos</w:t>
      </w:r>
      <w:r w:rsidR="00237AE9">
        <w:rPr>
          <w:lang w:eastAsia="en-US"/>
        </w:rPr>
        <w:t>i</w:t>
      </w:r>
      <w:r w:rsidRPr="00735F9F">
        <w:rPr>
          <w:lang w:eastAsia="en-US"/>
        </w:rPr>
        <w:t>tion with specified variations, and</w:t>
      </w:r>
    </w:p>
    <w:p w14:paraId="0B036B70" w14:textId="77777777" w:rsidR="008C3991" w:rsidRPr="00735F9F" w:rsidRDefault="008C3991" w:rsidP="00E859AC">
      <w:pPr>
        <w:pStyle w:val="ListNumber1Level2"/>
        <w:spacing w:after="120"/>
        <w:rPr>
          <w:lang w:eastAsia="en-US"/>
        </w:rPr>
      </w:pPr>
      <w:r w:rsidRPr="00735F9F">
        <w:rPr>
          <w:lang w:eastAsia="en-US"/>
        </w:rPr>
        <w:t>Similar levels of risk and efficacy</w:t>
      </w:r>
    </w:p>
    <w:p w14:paraId="1D3D50D3" w14:textId="77777777" w:rsidR="008C3991" w:rsidRDefault="008C3991" w:rsidP="00954BBB">
      <w:pPr>
        <w:pStyle w:val="ListNumber1Level2"/>
        <w:numPr>
          <w:ilvl w:val="0"/>
          <w:numId w:val="0"/>
        </w:numPr>
        <w:ind w:left="482" w:firstLine="227"/>
        <w:rPr>
          <w:i/>
          <w:lang w:eastAsia="en-US"/>
        </w:rPr>
      </w:pPr>
      <w:r w:rsidRPr="00954BBB">
        <w:rPr>
          <w:lang w:eastAsia="en-US"/>
        </w:rPr>
        <w:t>can be grouped in a BP</w:t>
      </w:r>
      <w:r w:rsidRPr="006E245C">
        <w:rPr>
          <w:lang w:eastAsia="en-US"/>
        </w:rPr>
        <w:t>F</w:t>
      </w:r>
      <w:r w:rsidR="00735F9F">
        <w:rPr>
          <w:i/>
          <w:lang w:eastAsia="en-US"/>
        </w:rPr>
        <w:t>.</w:t>
      </w:r>
    </w:p>
    <w:p w14:paraId="54527DC7" w14:textId="77777777" w:rsidR="00696E3B" w:rsidRPr="0004508C" w:rsidRDefault="00BA5876" w:rsidP="00954BBB">
      <w:pPr>
        <w:pStyle w:val="ListNumber"/>
        <w:rPr>
          <w:i/>
          <w:lang w:eastAsia="en-US"/>
        </w:rPr>
      </w:pPr>
      <w:r>
        <w:rPr>
          <w:lang w:eastAsia="en-US"/>
        </w:rPr>
        <w:t xml:space="preserve">Article 17(6) stipulates that </w:t>
      </w:r>
      <w:r w:rsidR="0004508C">
        <w:rPr>
          <w:lang w:eastAsia="en-US"/>
        </w:rPr>
        <w:t>‘</w:t>
      </w:r>
      <w:r w:rsidRPr="0004508C">
        <w:rPr>
          <w:i/>
          <w:lang w:eastAsia="en-US"/>
        </w:rPr>
        <w:t>the authorisation holder shall notify each competent authority that has granted a national authorisation for a biocidal product family of each product within the biocidal product family at least 30 days before placing it on the market, except where a particular product is explicitly identified in the authorisation or the variation in composition concerns only pigments, perfumes and dyes within the permitted variations. The notification shall indicate the exact composition, trade name and suffix to the authorisation number. In the case of a Union authorisation, the authorisation holder shall notify the Agency and the Commission.</w:t>
      </w:r>
      <w:r w:rsidR="0004508C">
        <w:rPr>
          <w:i/>
          <w:lang w:eastAsia="en-US"/>
        </w:rPr>
        <w:t>’</w:t>
      </w:r>
    </w:p>
    <w:p w14:paraId="7BB00DF0" w14:textId="77777777" w:rsidR="006D4011" w:rsidRPr="006D4011" w:rsidRDefault="006D4011" w:rsidP="006D4011">
      <w:pPr>
        <w:pStyle w:val="ListNumber"/>
      </w:pPr>
      <w:r>
        <w:rPr>
          <w:lang w:eastAsia="en-US"/>
        </w:rPr>
        <w:t xml:space="preserve">It </w:t>
      </w:r>
      <w:r w:rsidRPr="006D4011">
        <w:t>means that once the biocidal product family is authorised, the objective is to facilitate the placing on the market of new products belonging to the biocidal product family but not explicitly identified in the original authorisation. To that effect, a notification mechanism is to be used by the authorisation holder to inform the evaluating body that they intend to place on the market such new products</w:t>
      </w:r>
      <w:r w:rsidR="00237AE9">
        <w:t>.</w:t>
      </w:r>
    </w:p>
    <w:p w14:paraId="2C139771" w14:textId="77777777" w:rsidR="00197463" w:rsidRDefault="00E466C3" w:rsidP="006D4011">
      <w:pPr>
        <w:pStyle w:val="ListNumber"/>
      </w:pPr>
      <w:r w:rsidRPr="006D4011">
        <w:t xml:space="preserve">As no other information </w:t>
      </w:r>
      <w:r w:rsidR="00197463" w:rsidRPr="006D4011">
        <w:t>will be requested</w:t>
      </w:r>
      <w:r w:rsidRPr="006D4011">
        <w:t xml:space="preserve">, </w:t>
      </w:r>
      <w:r w:rsidR="00197463" w:rsidRPr="006D4011">
        <w:t>it implies that the SPC of the product</w:t>
      </w:r>
      <w:r w:rsidR="008B451C" w:rsidRPr="006D4011">
        <w:t>s</w:t>
      </w:r>
      <w:r w:rsidR="00197463" w:rsidRPr="006D4011">
        <w:t xml:space="preserve"> covered by </w:t>
      </w:r>
      <w:r w:rsidRPr="006D4011">
        <w:t>the</w:t>
      </w:r>
      <w:r w:rsidR="00197463" w:rsidRPr="006D4011">
        <w:t xml:space="preserve"> notification shall be </w:t>
      </w:r>
      <w:r w:rsidR="008B451C" w:rsidRPr="006D4011">
        <w:t>identical</w:t>
      </w:r>
      <w:r w:rsidR="00197463" w:rsidRPr="006D4011">
        <w:t xml:space="preserve"> in all parts to the one agreed at the time of the authorisation of the biocidal product family.</w:t>
      </w:r>
    </w:p>
    <w:p w14:paraId="06A58938" w14:textId="5B9DA698" w:rsidR="00237AE9" w:rsidRPr="006D4011" w:rsidRDefault="00237AE9" w:rsidP="006D4011">
      <w:pPr>
        <w:pStyle w:val="ListNumber"/>
      </w:pPr>
      <w:r>
        <w:rPr>
          <w:lang w:eastAsia="en-US"/>
        </w:rPr>
        <w:t>It is important to know precisely which product</w:t>
      </w:r>
      <w:r w:rsidR="009D33F7">
        <w:rPr>
          <w:lang w:eastAsia="en-US"/>
        </w:rPr>
        <w:t>s</w:t>
      </w:r>
      <w:r>
        <w:rPr>
          <w:lang w:eastAsia="en-US"/>
        </w:rPr>
        <w:t xml:space="preserve"> will be </w:t>
      </w:r>
      <w:r w:rsidR="009D33F7">
        <w:rPr>
          <w:lang w:eastAsia="en-US"/>
        </w:rPr>
        <w:t>authorised</w:t>
      </w:r>
      <w:r>
        <w:rPr>
          <w:lang w:eastAsia="en-US"/>
        </w:rPr>
        <w:t>.</w:t>
      </w:r>
    </w:p>
    <w:p w14:paraId="178DE18B" w14:textId="33FB9D3C" w:rsidR="00BA5876" w:rsidRPr="001F3181" w:rsidRDefault="006732EB" w:rsidP="001F3181">
      <w:pPr>
        <w:pStyle w:val="ListNumber"/>
      </w:pPr>
      <w:r>
        <w:rPr>
          <w:lang w:eastAsia="en-US"/>
        </w:rPr>
        <w:t>Based on</w:t>
      </w:r>
      <w:r w:rsidR="00031CF9">
        <w:rPr>
          <w:lang w:eastAsia="en-US"/>
        </w:rPr>
        <w:t xml:space="preserve"> the </w:t>
      </w:r>
      <w:r w:rsidR="00031CF9" w:rsidRPr="001F3181">
        <w:t xml:space="preserve">conclusions of the risk and efficacy assessment, </w:t>
      </w:r>
      <w:r w:rsidR="003D2730" w:rsidRPr="001F3181">
        <w:t xml:space="preserve">the </w:t>
      </w:r>
      <w:r w:rsidR="00031CF9" w:rsidRPr="001F3181">
        <w:t>authorisation</w:t>
      </w:r>
      <w:r w:rsidR="003D2730" w:rsidRPr="001F3181">
        <w:t xml:space="preserve"> </w:t>
      </w:r>
      <w:r w:rsidR="00031CF9" w:rsidRPr="001F3181">
        <w:t xml:space="preserve">shall therefore provide information </w:t>
      </w:r>
      <w:r w:rsidR="0026342D">
        <w:t>in</w:t>
      </w:r>
      <w:r w:rsidR="0026342D" w:rsidRPr="001F3181">
        <w:t xml:space="preserve"> </w:t>
      </w:r>
      <w:r w:rsidR="00031CF9" w:rsidRPr="001F3181">
        <w:t xml:space="preserve">a structured manner that would ensure that </w:t>
      </w:r>
      <w:r w:rsidR="00BF1D81" w:rsidRPr="001F3181">
        <w:t xml:space="preserve">the competent authority could handle </w:t>
      </w:r>
      <w:r w:rsidR="00031CF9" w:rsidRPr="001F3181">
        <w:t xml:space="preserve">notifications within the </w:t>
      </w:r>
      <w:r w:rsidR="00BF1D81" w:rsidRPr="001F3181">
        <w:t xml:space="preserve">required </w:t>
      </w:r>
      <w:r w:rsidR="00031CF9" w:rsidRPr="001F3181">
        <w:t>30 days.</w:t>
      </w:r>
    </w:p>
    <w:p w14:paraId="39124DD0" w14:textId="1360E09D" w:rsidR="0029536C" w:rsidRDefault="0029536C" w:rsidP="00907936">
      <w:pPr>
        <w:pStyle w:val="ListNumber"/>
        <w:rPr>
          <w:lang w:eastAsia="en-US"/>
        </w:rPr>
      </w:pPr>
      <w:r w:rsidRPr="001F3181">
        <w:t xml:space="preserve">BPF authorisations </w:t>
      </w:r>
      <w:r w:rsidR="003D2730" w:rsidRPr="001F3181">
        <w:t xml:space="preserve">include </w:t>
      </w:r>
      <w:r w:rsidRPr="001F3181">
        <w:t>three levels of information in the Summary of Products Characteristics</w:t>
      </w:r>
      <w:r>
        <w:rPr>
          <w:lang w:eastAsia="en-US"/>
        </w:rPr>
        <w:t xml:space="preserve"> (SPC):</w:t>
      </w:r>
    </w:p>
    <w:p w14:paraId="0E4006DF" w14:textId="77777777" w:rsidR="0029536C" w:rsidRDefault="0029536C" w:rsidP="00907936">
      <w:pPr>
        <w:pStyle w:val="ListDash1Level2"/>
        <w:spacing w:after="120"/>
        <w:rPr>
          <w:lang w:eastAsia="en-US"/>
        </w:rPr>
      </w:pPr>
      <w:r>
        <w:rPr>
          <w:lang w:eastAsia="en-US"/>
        </w:rPr>
        <w:lastRenderedPageBreak/>
        <w:t>The 1</w:t>
      </w:r>
      <w:r w:rsidRPr="0029536C">
        <w:rPr>
          <w:vertAlign w:val="superscript"/>
          <w:lang w:eastAsia="en-US"/>
        </w:rPr>
        <w:t>st</w:t>
      </w:r>
      <w:r>
        <w:rPr>
          <w:lang w:eastAsia="en-US"/>
        </w:rPr>
        <w:t xml:space="preserve"> level describes the composition and permitted variations of the authorised biocidal products family</w:t>
      </w:r>
    </w:p>
    <w:p w14:paraId="4954587A" w14:textId="41BE7CAA" w:rsidR="00907936" w:rsidRDefault="00907936" w:rsidP="00907936">
      <w:pPr>
        <w:pStyle w:val="ListDash1Level2"/>
        <w:spacing w:after="120"/>
        <w:rPr>
          <w:lang w:eastAsia="en-US"/>
        </w:rPr>
      </w:pPr>
      <w:r>
        <w:rPr>
          <w:lang w:eastAsia="en-US"/>
        </w:rPr>
        <w:t>The 2</w:t>
      </w:r>
      <w:r w:rsidRPr="0029536C">
        <w:rPr>
          <w:vertAlign w:val="superscript"/>
          <w:lang w:eastAsia="en-US"/>
        </w:rPr>
        <w:t>nd</w:t>
      </w:r>
      <w:r>
        <w:rPr>
          <w:lang w:eastAsia="en-US"/>
        </w:rPr>
        <w:t xml:space="preserve"> level provides the </w:t>
      </w:r>
      <w:r w:rsidRPr="003D2730">
        <w:rPr>
          <w:i/>
          <w:lang w:eastAsia="en-US"/>
        </w:rPr>
        <w:t xml:space="preserve">meta </w:t>
      </w:r>
      <w:r>
        <w:rPr>
          <w:lang w:eastAsia="en-US"/>
        </w:rPr>
        <w:t>SPC which describes the composition and permitted variations of the sub-groups of products within the family.</w:t>
      </w:r>
    </w:p>
    <w:p w14:paraId="43D31464" w14:textId="77777777" w:rsidR="003D2730" w:rsidRPr="00BA5876" w:rsidRDefault="003D2730" w:rsidP="00237AE9">
      <w:pPr>
        <w:pStyle w:val="ListDash1Level2"/>
        <w:spacing w:after="120"/>
        <w:rPr>
          <w:lang w:eastAsia="en-US"/>
        </w:rPr>
      </w:pPr>
      <w:r>
        <w:rPr>
          <w:lang w:eastAsia="en-US"/>
        </w:rPr>
        <w:t>The 3</w:t>
      </w:r>
      <w:r w:rsidRPr="003D2730">
        <w:rPr>
          <w:vertAlign w:val="superscript"/>
          <w:lang w:eastAsia="en-US"/>
        </w:rPr>
        <w:t>rd</w:t>
      </w:r>
      <w:r>
        <w:rPr>
          <w:lang w:eastAsia="en-US"/>
        </w:rPr>
        <w:t xml:space="preserve"> level provides the composition of the biocidal products belonging to the family </w:t>
      </w:r>
    </w:p>
    <w:p w14:paraId="13C21287" w14:textId="77777777" w:rsidR="00993B25" w:rsidRPr="00993B25" w:rsidRDefault="00993B25" w:rsidP="00CE3E54">
      <w:pPr>
        <w:pStyle w:val="ListNumber"/>
        <w:rPr>
          <w:lang w:eastAsia="en-US"/>
        </w:rPr>
      </w:pPr>
      <w:r>
        <w:rPr>
          <w:lang w:eastAsia="en-US"/>
        </w:rPr>
        <w:t>Article 19(6) prescribes that ‘</w:t>
      </w:r>
      <w:r w:rsidRPr="00EE1743">
        <w:rPr>
          <w:i/>
          <w:lang w:eastAsia="en-US"/>
        </w:rPr>
        <w:t xml:space="preserve">the assessment of the biocidal product family conducted according to the common principles set out in Annex VI shall consider the maximum risks to human health, animal health and the environment and the minimum level of efficacy </w:t>
      </w:r>
      <w:r w:rsidRPr="00CA0041">
        <w:rPr>
          <w:i/>
          <w:u w:val="single"/>
          <w:lang w:eastAsia="en-US"/>
        </w:rPr>
        <w:t xml:space="preserve">over the whole potential range of products </w:t>
      </w:r>
      <w:r w:rsidRPr="00EE1743">
        <w:rPr>
          <w:i/>
          <w:lang w:eastAsia="en-US"/>
        </w:rPr>
        <w:t>within the biocidal product family’</w:t>
      </w:r>
      <w:r w:rsidR="00CA0041">
        <w:rPr>
          <w:lang w:eastAsia="en-US"/>
        </w:rPr>
        <w:t>[emphasis added]</w:t>
      </w:r>
      <w:r>
        <w:rPr>
          <w:lang w:eastAsia="en-US"/>
        </w:rPr>
        <w:t>.</w:t>
      </w:r>
    </w:p>
    <w:p w14:paraId="174D827D" w14:textId="77777777" w:rsidR="00EB6557" w:rsidRPr="00704730" w:rsidRDefault="00EB6557" w:rsidP="00EE1743">
      <w:pPr>
        <w:pStyle w:val="ListNumber"/>
        <w:numPr>
          <w:ilvl w:val="0"/>
          <w:numId w:val="0"/>
        </w:numPr>
        <w:ind w:left="992"/>
        <w:rPr>
          <w:i/>
          <w:lang w:eastAsia="en-US"/>
        </w:rPr>
      </w:pPr>
      <w:r w:rsidRPr="00704730">
        <w:rPr>
          <w:i/>
          <w:lang w:eastAsia="en-US"/>
        </w:rPr>
        <w:t xml:space="preserve">A biocidal product family shall be authorised only if: </w:t>
      </w:r>
    </w:p>
    <w:p w14:paraId="1393A6CA" w14:textId="77777777" w:rsidR="00EB6557" w:rsidRPr="00EE1743" w:rsidRDefault="00EB6557" w:rsidP="00133C1C">
      <w:pPr>
        <w:pStyle w:val="ListNumber1Level2"/>
        <w:numPr>
          <w:ilvl w:val="1"/>
          <w:numId w:val="18"/>
        </w:numPr>
        <w:rPr>
          <w:i/>
          <w:lang w:eastAsia="en-US"/>
        </w:rPr>
      </w:pPr>
      <w:r w:rsidRPr="00EE1743">
        <w:rPr>
          <w:i/>
          <w:lang w:eastAsia="en-US"/>
        </w:rPr>
        <w:t xml:space="preserve">the application explicitly identifies the maximum risks to human health, animal health and the environment, and the minimum level of efficacy, on which the assessment is based, as well as the permitted variations in composition and uses referred to in point (s) of Article 3(1) together with their respective classification, hazard and precautionary statements and any appropriate risk mitigation measures; and </w:t>
      </w:r>
    </w:p>
    <w:p w14:paraId="227261C3" w14:textId="77777777" w:rsidR="00993B25" w:rsidRPr="00CE3E54" w:rsidRDefault="00EB6557" w:rsidP="008E1433">
      <w:pPr>
        <w:pStyle w:val="ListNumber1Level2"/>
        <w:rPr>
          <w:lang w:eastAsia="en-US"/>
        </w:rPr>
      </w:pPr>
      <w:r w:rsidRPr="00EE1743">
        <w:rPr>
          <w:i/>
          <w:lang w:eastAsia="en-US"/>
        </w:rPr>
        <w:t>it can be established based on the assessment referred to in the first subparagraph of this paragraph that all the biocidal products within the family comply with the conditions set out in paragraph 1.</w:t>
      </w:r>
    </w:p>
    <w:p w14:paraId="0EC11A5C" w14:textId="77777777" w:rsidR="00F54379" w:rsidRPr="002042FA" w:rsidRDefault="00F54379" w:rsidP="002042FA">
      <w:pPr>
        <w:pStyle w:val="ListNumber"/>
      </w:pPr>
      <w:r>
        <w:rPr>
          <w:lang w:eastAsia="en-US"/>
        </w:rPr>
        <w:t>Article</w:t>
      </w:r>
      <w:r w:rsidR="006732EB">
        <w:rPr>
          <w:lang w:eastAsia="en-US"/>
        </w:rPr>
        <w:t>s</w:t>
      </w:r>
      <w:r>
        <w:rPr>
          <w:lang w:eastAsia="en-US"/>
        </w:rPr>
        <w:t xml:space="preserve"> 22(1) and (2) </w:t>
      </w:r>
      <w:r w:rsidR="005A717E">
        <w:rPr>
          <w:lang w:eastAsia="en-US"/>
        </w:rPr>
        <w:t>clarify</w:t>
      </w:r>
      <w:r>
        <w:rPr>
          <w:lang w:eastAsia="en-US"/>
        </w:rPr>
        <w:t xml:space="preserve"> that </w:t>
      </w:r>
      <w:r w:rsidR="00272ADE">
        <w:rPr>
          <w:lang w:eastAsia="en-US"/>
        </w:rPr>
        <w:t>‘</w:t>
      </w:r>
      <w:r w:rsidRPr="00CB5C30">
        <w:rPr>
          <w:i/>
          <w:lang w:eastAsia="en-US"/>
        </w:rPr>
        <w:t xml:space="preserve">an authorisation shall stipulate the terms and conditions relating to the making available on the market and use of the single biocidal product or the biocidal product family and include a summary </w:t>
      </w:r>
      <w:r w:rsidRPr="00CB5C30">
        <w:rPr>
          <w:i/>
        </w:rPr>
        <w:t>of the biocidal product characteristics.</w:t>
      </w:r>
      <w:r w:rsidR="00272ADE" w:rsidRPr="002042FA">
        <w:t>’</w:t>
      </w:r>
      <w:r w:rsidRPr="002042FA">
        <w:t xml:space="preserve"> </w:t>
      </w:r>
    </w:p>
    <w:p w14:paraId="211CF6B1" w14:textId="77777777" w:rsidR="00F54379" w:rsidRPr="002042FA" w:rsidRDefault="00F54379" w:rsidP="002042FA">
      <w:pPr>
        <w:pStyle w:val="ListNumber"/>
        <w:numPr>
          <w:ilvl w:val="0"/>
          <w:numId w:val="0"/>
        </w:numPr>
        <w:ind w:left="992"/>
        <w:rPr>
          <w:i/>
        </w:rPr>
      </w:pPr>
      <w:r w:rsidRPr="002042FA">
        <w:rPr>
          <w:i/>
        </w:rPr>
        <w:t>Without prejudice to Articles 66 and 67, the summary of the biocidal product characteristics for a single biocidal product or, in the case of a biocidal product family, the biocidal products within that biocidal product family, shall include the following information:</w:t>
      </w:r>
    </w:p>
    <w:p w14:paraId="6F30B1C6" w14:textId="77777777" w:rsidR="00F54379" w:rsidRPr="004A749F" w:rsidRDefault="00F54379" w:rsidP="00133C1C">
      <w:pPr>
        <w:pStyle w:val="ListNumber1Level2"/>
        <w:numPr>
          <w:ilvl w:val="1"/>
          <w:numId w:val="19"/>
        </w:numPr>
        <w:spacing w:after="120"/>
        <w:rPr>
          <w:i/>
          <w:lang w:eastAsia="en-US"/>
        </w:rPr>
      </w:pPr>
      <w:r w:rsidRPr="00F54379">
        <w:rPr>
          <w:lang w:eastAsia="en-US"/>
        </w:rPr>
        <w:t xml:space="preserve"> </w:t>
      </w:r>
      <w:r w:rsidRPr="004A749F">
        <w:rPr>
          <w:i/>
          <w:lang w:eastAsia="en-US"/>
        </w:rPr>
        <w:t>trade name of the biocidal product;</w:t>
      </w:r>
    </w:p>
    <w:p w14:paraId="3A20F217" w14:textId="77777777" w:rsidR="00F54379" w:rsidRPr="004A749F" w:rsidRDefault="00F54379" w:rsidP="004A749F">
      <w:pPr>
        <w:pStyle w:val="ListNumber1Level2"/>
        <w:spacing w:after="120"/>
        <w:rPr>
          <w:i/>
          <w:lang w:eastAsia="en-US"/>
        </w:rPr>
      </w:pPr>
      <w:r w:rsidRPr="004A749F">
        <w:rPr>
          <w:i/>
          <w:lang w:eastAsia="en-US"/>
        </w:rPr>
        <w:t xml:space="preserve"> name and address of the authorisation holder;</w:t>
      </w:r>
    </w:p>
    <w:p w14:paraId="1CF42B42" w14:textId="77777777" w:rsidR="00F54379" w:rsidRPr="004A749F" w:rsidRDefault="00F54379" w:rsidP="004A749F">
      <w:pPr>
        <w:pStyle w:val="ListNumber1Level2"/>
        <w:spacing w:after="120"/>
        <w:rPr>
          <w:i/>
          <w:lang w:eastAsia="en-US"/>
        </w:rPr>
      </w:pPr>
      <w:r w:rsidRPr="004A749F">
        <w:rPr>
          <w:i/>
          <w:lang w:eastAsia="en-US"/>
        </w:rPr>
        <w:t xml:space="preserve"> date of the authorisation and its date of expiry;</w:t>
      </w:r>
    </w:p>
    <w:p w14:paraId="5E2C40B7" w14:textId="77777777" w:rsidR="001B389C" w:rsidRPr="004A749F" w:rsidRDefault="00F54379" w:rsidP="004A749F">
      <w:pPr>
        <w:pStyle w:val="ListNumber1Level2"/>
        <w:spacing w:after="120"/>
        <w:rPr>
          <w:i/>
          <w:lang w:eastAsia="en-US"/>
        </w:rPr>
      </w:pPr>
      <w:r w:rsidRPr="004A749F">
        <w:rPr>
          <w:i/>
          <w:lang w:eastAsia="en-US"/>
        </w:rPr>
        <w:t xml:space="preserve"> authorisation number of the biocidal product, together with, in the case of a biocidal product family, the suffixes to apply to individual biocidal products within the biocidal product family;</w:t>
      </w:r>
    </w:p>
    <w:p w14:paraId="62BBA018" w14:textId="77777777" w:rsidR="00993B25" w:rsidRPr="004A749F" w:rsidRDefault="00F54379" w:rsidP="004A749F">
      <w:pPr>
        <w:pStyle w:val="ListNumber1Level2"/>
        <w:spacing w:after="120"/>
        <w:rPr>
          <w:i/>
          <w:lang w:eastAsia="en-US"/>
        </w:rPr>
      </w:pPr>
      <w:r w:rsidRPr="004A749F">
        <w:rPr>
          <w:i/>
          <w:lang w:eastAsia="en-US"/>
        </w:rPr>
        <w:t>qualitative and quantitative composition in terms of the active substances and non-active substances, knowledge of which is essential for proper use of biocidal products; and in the case of a biocidal product family, the quantitative composition shall indicate a minimum and maximum percentage for each active and non-active substance, where the minimum percentage indicated fo</w:t>
      </w:r>
      <w:r w:rsidR="005A717E" w:rsidRPr="004A749F">
        <w:rPr>
          <w:i/>
          <w:lang w:eastAsia="en-US"/>
        </w:rPr>
        <w:t>r certain substances may be 0 %.</w:t>
      </w:r>
      <w:r w:rsidR="001B389C" w:rsidRPr="004A749F">
        <w:rPr>
          <w:i/>
          <w:lang w:eastAsia="en-US"/>
        </w:rPr>
        <w:t>(…)</w:t>
      </w:r>
      <w:r w:rsidR="004A749F" w:rsidRPr="004A749F">
        <w:rPr>
          <w:i/>
          <w:lang w:eastAsia="en-US"/>
        </w:rPr>
        <w:t>.</w:t>
      </w:r>
    </w:p>
    <w:p w14:paraId="52F99CF9" w14:textId="77777777" w:rsidR="005A717E" w:rsidRDefault="005A717E" w:rsidP="0094794B">
      <w:pPr>
        <w:pStyle w:val="ListNumber"/>
        <w:rPr>
          <w:lang w:eastAsia="en-US"/>
        </w:rPr>
      </w:pPr>
      <w:r>
        <w:rPr>
          <w:lang w:eastAsia="en-US"/>
        </w:rPr>
        <w:lastRenderedPageBreak/>
        <w:t xml:space="preserve">Annex VI point 20 sets out that </w:t>
      </w:r>
      <w:r w:rsidRPr="005A717E">
        <w:rPr>
          <w:lang w:eastAsia="en-US"/>
        </w:rPr>
        <w:t>the information provided on the biocidal product family shall permit the evaluating body to reach a decision on whether all the products within the biocidal product family comply with the criteria under Article 19(1</w:t>
      </w:r>
      <w:r w:rsidR="006732EB" w:rsidRPr="005A717E">
        <w:rPr>
          <w:lang w:eastAsia="en-US"/>
        </w:rPr>
        <w:t>)(</w:t>
      </w:r>
      <w:r w:rsidRPr="005A717E">
        <w:rPr>
          <w:lang w:eastAsia="en-US"/>
        </w:rPr>
        <w:t>b).</w:t>
      </w:r>
    </w:p>
    <w:p w14:paraId="4D07D7A5" w14:textId="77777777" w:rsidR="00526BF1" w:rsidRDefault="00526BF1" w:rsidP="0087212A">
      <w:pPr>
        <w:pStyle w:val="Heading1"/>
        <w:spacing w:before="0"/>
        <w:rPr>
          <w:lang w:eastAsia="en-US"/>
        </w:rPr>
      </w:pPr>
      <w:r>
        <w:rPr>
          <w:lang w:eastAsia="en-US"/>
        </w:rPr>
        <w:t>Practical implementation</w:t>
      </w:r>
    </w:p>
    <w:p w14:paraId="40E8B0F4" w14:textId="77777777" w:rsidR="00735F9F" w:rsidRDefault="00735F9F" w:rsidP="00D81B08">
      <w:pPr>
        <w:pStyle w:val="ListNumber"/>
        <w:spacing w:after="120"/>
        <w:rPr>
          <w:lang w:eastAsia="en-US"/>
        </w:rPr>
      </w:pPr>
      <w:r>
        <w:rPr>
          <w:lang w:eastAsia="en-US"/>
        </w:rPr>
        <w:t xml:space="preserve">This note is structured in </w:t>
      </w:r>
      <w:r w:rsidR="005102DB">
        <w:rPr>
          <w:lang w:eastAsia="en-US"/>
        </w:rPr>
        <w:t>3</w:t>
      </w:r>
      <w:r w:rsidR="001F3C04">
        <w:rPr>
          <w:lang w:eastAsia="en-US"/>
        </w:rPr>
        <w:t xml:space="preserve"> </w:t>
      </w:r>
      <w:r w:rsidR="0066021C">
        <w:rPr>
          <w:lang w:eastAsia="en-US"/>
        </w:rPr>
        <w:t>chapters ad</w:t>
      </w:r>
      <w:r>
        <w:rPr>
          <w:lang w:eastAsia="en-US"/>
        </w:rPr>
        <w:t>dressing the following topics:</w:t>
      </w:r>
    </w:p>
    <w:p w14:paraId="39D95C94" w14:textId="77777777" w:rsidR="00735F9F" w:rsidRDefault="00735F9F" w:rsidP="00133C1C">
      <w:pPr>
        <w:pStyle w:val="ListNumber1Level2"/>
        <w:numPr>
          <w:ilvl w:val="1"/>
          <w:numId w:val="20"/>
        </w:numPr>
        <w:spacing w:after="120"/>
        <w:rPr>
          <w:lang w:eastAsia="en-US"/>
        </w:rPr>
      </w:pPr>
      <w:r>
        <w:rPr>
          <w:lang w:eastAsia="en-US"/>
        </w:rPr>
        <w:t>Best practice in pre-submission meet</w:t>
      </w:r>
      <w:r w:rsidR="0079475D">
        <w:rPr>
          <w:lang w:eastAsia="en-US"/>
        </w:rPr>
        <w:t>ing</w:t>
      </w:r>
    </w:p>
    <w:p w14:paraId="62C16EBC" w14:textId="77777777" w:rsidR="00526BF1" w:rsidRDefault="0079475D" w:rsidP="00946D3C">
      <w:pPr>
        <w:pStyle w:val="ListNumber1Level2"/>
        <w:spacing w:after="120"/>
        <w:rPr>
          <w:lang w:eastAsia="en-US"/>
        </w:rPr>
      </w:pPr>
      <w:r>
        <w:rPr>
          <w:lang w:eastAsia="en-US"/>
        </w:rPr>
        <w:t>Assessment of similarity in BPF</w:t>
      </w:r>
      <w:r w:rsidR="009A156A">
        <w:rPr>
          <w:lang w:eastAsia="en-US"/>
        </w:rPr>
        <w:t xml:space="preserve"> by applicants</w:t>
      </w:r>
    </w:p>
    <w:p w14:paraId="31C1FB63" w14:textId="77777777" w:rsidR="000C2831" w:rsidRDefault="000C2831" w:rsidP="006631E7">
      <w:pPr>
        <w:pStyle w:val="ListNumber1Level2"/>
        <w:rPr>
          <w:lang w:eastAsia="en-US"/>
        </w:rPr>
      </w:pPr>
      <w:r>
        <w:rPr>
          <w:lang w:eastAsia="en-US"/>
        </w:rPr>
        <w:t>Splitting of families for ongoing applications</w:t>
      </w:r>
    </w:p>
    <w:p w14:paraId="79D5DDAD" w14:textId="77777777" w:rsidR="0079475D" w:rsidRPr="0079475D" w:rsidRDefault="0079475D" w:rsidP="0079475D">
      <w:pPr>
        <w:pStyle w:val="NumPar2"/>
        <w:rPr>
          <w:b/>
          <w:lang w:eastAsia="en-US"/>
        </w:rPr>
      </w:pPr>
      <w:r w:rsidRPr="0079475D">
        <w:rPr>
          <w:b/>
          <w:lang w:eastAsia="en-US"/>
        </w:rPr>
        <w:t>Best practice in pre-submission meeting</w:t>
      </w:r>
    </w:p>
    <w:p w14:paraId="1CA63873" w14:textId="77777777" w:rsidR="0079475D" w:rsidRPr="0079475D" w:rsidRDefault="0079475D" w:rsidP="0094794B">
      <w:pPr>
        <w:pStyle w:val="ListNumber"/>
        <w:rPr>
          <w:lang w:eastAsia="en-US"/>
        </w:rPr>
      </w:pPr>
      <w:r w:rsidRPr="0079475D">
        <w:rPr>
          <w:lang w:eastAsia="en-US"/>
        </w:rPr>
        <w:t>When applicants are in the planning phase for designing an application for a BPF</w:t>
      </w:r>
      <w:r w:rsidR="00BB3742">
        <w:rPr>
          <w:lang w:eastAsia="en-US"/>
        </w:rPr>
        <w:t>,</w:t>
      </w:r>
      <w:r w:rsidRPr="0079475D">
        <w:rPr>
          <w:lang w:eastAsia="en-US"/>
        </w:rPr>
        <w:t xml:space="preserve"> a number of considerations might </w:t>
      </w:r>
      <w:r w:rsidR="00BB3742">
        <w:rPr>
          <w:lang w:eastAsia="en-US"/>
        </w:rPr>
        <w:t>a</w:t>
      </w:r>
      <w:r w:rsidRPr="0079475D">
        <w:rPr>
          <w:lang w:eastAsia="en-US"/>
        </w:rPr>
        <w:t xml:space="preserve">rise. </w:t>
      </w:r>
    </w:p>
    <w:p w14:paraId="2FD05E55" w14:textId="1DAB6E19" w:rsidR="0079475D" w:rsidRPr="0079475D" w:rsidRDefault="0079475D" w:rsidP="0094794B">
      <w:pPr>
        <w:pStyle w:val="ListNumber"/>
        <w:rPr>
          <w:lang w:eastAsia="en-US"/>
        </w:rPr>
      </w:pPr>
      <w:r w:rsidRPr="0079475D">
        <w:rPr>
          <w:lang w:eastAsia="en-US"/>
        </w:rPr>
        <w:t xml:space="preserve">According to the BPR, Annex III </w:t>
      </w:r>
      <w:r w:rsidR="00A672DA">
        <w:rPr>
          <w:lang w:eastAsia="en-US"/>
        </w:rPr>
        <w:t xml:space="preserve">recital </w:t>
      </w:r>
      <w:r w:rsidRPr="0079475D">
        <w:rPr>
          <w:lang w:eastAsia="en-US"/>
        </w:rPr>
        <w:t>(2)</w:t>
      </w:r>
      <w:r w:rsidR="00A672DA">
        <w:rPr>
          <w:lang w:eastAsia="en-US"/>
        </w:rPr>
        <w:t xml:space="preserve"> paragraph 7 of the introductory part</w:t>
      </w:r>
      <w:r w:rsidRPr="0079475D">
        <w:rPr>
          <w:lang w:eastAsia="en-US"/>
        </w:rPr>
        <w:t xml:space="preserve">: </w:t>
      </w:r>
      <w:r w:rsidR="007E352B" w:rsidRPr="007E352B">
        <w:rPr>
          <w:i/>
          <w:lang w:eastAsia="en-US"/>
        </w:rPr>
        <w:t>'</w:t>
      </w:r>
      <w:r w:rsidRPr="007E352B">
        <w:rPr>
          <w:i/>
          <w:lang w:eastAsia="en-US"/>
        </w:rPr>
        <w:t xml:space="preserve">The applicant has the obligation to initiate a pre-submission consultation. In addition to the obligation set out in Article 62(2), applicants may also consult </w:t>
      </w:r>
      <w:r w:rsidRPr="007E352B">
        <w:rPr>
          <w:i/>
          <w:u w:val="single"/>
          <w:lang w:eastAsia="en-US"/>
        </w:rPr>
        <w:t xml:space="preserve">with the competent authority that will evaluate the dossier </w:t>
      </w:r>
      <w:r w:rsidRPr="007E352B">
        <w:rPr>
          <w:i/>
          <w:lang w:eastAsia="en-US"/>
        </w:rPr>
        <w:t>with regard to the proposed information requirements and in particular the testing on vertebrates that the applicant proposes to carry out</w:t>
      </w:r>
      <w:r w:rsidR="007E352B">
        <w:rPr>
          <w:i/>
          <w:lang w:eastAsia="en-US"/>
        </w:rPr>
        <w:t>'</w:t>
      </w:r>
      <w:r w:rsidRPr="0079475D">
        <w:rPr>
          <w:lang w:eastAsia="en-US"/>
        </w:rPr>
        <w:t xml:space="preserve">(emphasis added). </w:t>
      </w:r>
    </w:p>
    <w:p w14:paraId="67BFB273" w14:textId="0EF8B69A" w:rsidR="0079475D" w:rsidRPr="0079475D" w:rsidRDefault="0079475D" w:rsidP="0094794B">
      <w:pPr>
        <w:pStyle w:val="ListNumber"/>
        <w:rPr>
          <w:lang w:eastAsia="en-US"/>
        </w:rPr>
      </w:pPr>
      <w:r w:rsidRPr="0079475D">
        <w:rPr>
          <w:lang w:eastAsia="en-US"/>
        </w:rPr>
        <w:t xml:space="preserve">In order to solve as many issues as possible and discuss the foreseen approach before the </w:t>
      </w:r>
      <w:r w:rsidR="00A672DA">
        <w:rPr>
          <w:lang w:eastAsia="en-US"/>
        </w:rPr>
        <w:t>pre-</w:t>
      </w:r>
      <w:r w:rsidRPr="0079475D">
        <w:rPr>
          <w:lang w:eastAsia="en-US"/>
        </w:rPr>
        <w:t>submission of the application</w:t>
      </w:r>
      <w:r w:rsidR="008A539B">
        <w:rPr>
          <w:lang w:eastAsia="en-US"/>
        </w:rPr>
        <w:t>, i</w:t>
      </w:r>
      <w:r w:rsidRPr="0079475D">
        <w:rPr>
          <w:lang w:eastAsia="en-US"/>
        </w:rPr>
        <w:t xml:space="preserve">t is essential that the applicant seeks the agreement of the competent authority (CA) </w:t>
      </w:r>
      <w:r w:rsidR="00A672DA">
        <w:rPr>
          <w:lang w:eastAsia="en-US"/>
        </w:rPr>
        <w:t xml:space="preserve">to act </w:t>
      </w:r>
      <w:r w:rsidRPr="0079475D">
        <w:rPr>
          <w:lang w:eastAsia="en-US"/>
        </w:rPr>
        <w:t xml:space="preserve">as reference </w:t>
      </w:r>
      <w:r w:rsidR="00266BCA">
        <w:rPr>
          <w:lang w:eastAsia="en-US"/>
        </w:rPr>
        <w:t>M</w:t>
      </w:r>
      <w:r w:rsidRPr="0079475D">
        <w:rPr>
          <w:lang w:eastAsia="en-US"/>
        </w:rPr>
        <w:t xml:space="preserve">ember </w:t>
      </w:r>
      <w:r w:rsidR="00266BCA">
        <w:rPr>
          <w:lang w:eastAsia="en-US"/>
        </w:rPr>
        <w:t>S</w:t>
      </w:r>
      <w:r w:rsidRPr="0079475D">
        <w:rPr>
          <w:lang w:eastAsia="en-US"/>
        </w:rPr>
        <w:t>tate (</w:t>
      </w:r>
      <w:r w:rsidR="00266BCA">
        <w:rPr>
          <w:lang w:eastAsia="en-US"/>
        </w:rPr>
        <w:t xml:space="preserve">the </w:t>
      </w:r>
      <w:r w:rsidRPr="0079475D">
        <w:rPr>
          <w:lang w:eastAsia="en-US"/>
        </w:rPr>
        <w:t xml:space="preserve">rMS) in case of mutual recognition (MR) procedures or as evaluating CA in case of Union authorisation (UA) procedures (the "eCA"). </w:t>
      </w:r>
      <w:r w:rsidR="00A672DA">
        <w:rPr>
          <w:lang w:eastAsia="en-US"/>
        </w:rPr>
        <w:t xml:space="preserve">Moreover, information on upcoming applications </w:t>
      </w:r>
      <w:r w:rsidRPr="0079475D">
        <w:rPr>
          <w:lang w:eastAsia="en-US"/>
        </w:rPr>
        <w:t xml:space="preserve">will enable the </w:t>
      </w:r>
      <w:r w:rsidR="006D2782">
        <w:rPr>
          <w:lang w:eastAsia="en-US"/>
        </w:rPr>
        <w:t>CA</w:t>
      </w:r>
      <w:r w:rsidR="00266BCA">
        <w:rPr>
          <w:lang w:eastAsia="en-US"/>
        </w:rPr>
        <w:t xml:space="preserve"> </w:t>
      </w:r>
      <w:r w:rsidR="003D7A3C">
        <w:rPr>
          <w:lang w:eastAsia="en-US"/>
        </w:rPr>
        <w:t xml:space="preserve">to adequately plan its future </w:t>
      </w:r>
      <w:r w:rsidRPr="0079475D">
        <w:rPr>
          <w:lang w:eastAsia="en-US"/>
        </w:rPr>
        <w:t xml:space="preserve">workload and adapt the necessary resources accordingly. </w:t>
      </w:r>
    </w:p>
    <w:p w14:paraId="402DE23C" w14:textId="77777777" w:rsidR="0079475D" w:rsidRPr="0079475D" w:rsidRDefault="0079475D" w:rsidP="0094794B">
      <w:pPr>
        <w:pStyle w:val="ListNumber"/>
        <w:rPr>
          <w:lang w:eastAsia="en-US"/>
        </w:rPr>
      </w:pPr>
      <w:r w:rsidRPr="0079475D">
        <w:rPr>
          <w:lang w:eastAsia="en-US"/>
        </w:rPr>
        <w:t>Once a</w:t>
      </w:r>
      <w:r w:rsidR="00266BCA">
        <w:rPr>
          <w:lang w:eastAsia="en-US"/>
        </w:rPr>
        <w:t xml:space="preserve"> </w:t>
      </w:r>
      <w:r w:rsidR="006D2782">
        <w:rPr>
          <w:lang w:eastAsia="en-US"/>
        </w:rPr>
        <w:t>CA</w:t>
      </w:r>
      <w:r w:rsidR="00266BCA">
        <w:rPr>
          <w:lang w:eastAsia="en-US"/>
        </w:rPr>
        <w:t xml:space="preserve"> </w:t>
      </w:r>
      <w:r w:rsidRPr="0079475D">
        <w:rPr>
          <w:lang w:eastAsia="en-US"/>
        </w:rPr>
        <w:t xml:space="preserve">has agreed to act as </w:t>
      </w:r>
      <w:r w:rsidR="00352764">
        <w:rPr>
          <w:lang w:eastAsia="en-US"/>
        </w:rPr>
        <w:t>rMS or eCA</w:t>
      </w:r>
      <w:r w:rsidRPr="0079475D">
        <w:rPr>
          <w:lang w:eastAsia="en-US"/>
        </w:rPr>
        <w:t xml:space="preserve">, it is suitable that </w:t>
      </w:r>
      <w:r w:rsidR="00266BCA">
        <w:rPr>
          <w:lang w:eastAsia="en-US"/>
        </w:rPr>
        <w:t>the applicant and that authority discuss the organis</w:t>
      </w:r>
      <w:r w:rsidRPr="0079475D">
        <w:rPr>
          <w:lang w:eastAsia="en-US"/>
        </w:rPr>
        <w:t>ation of pre-submission meeting</w:t>
      </w:r>
      <w:r w:rsidR="00266BCA">
        <w:rPr>
          <w:lang w:eastAsia="en-US"/>
        </w:rPr>
        <w:t>(</w:t>
      </w:r>
      <w:r w:rsidRPr="0079475D">
        <w:rPr>
          <w:lang w:eastAsia="en-US"/>
        </w:rPr>
        <w:t>s</w:t>
      </w:r>
      <w:r w:rsidR="00266BCA">
        <w:rPr>
          <w:lang w:eastAsia="en-US"/>
        </w:rPr>
        <w:t>)</w:t>
      </w:r>
      <w:r w:rsidRPr="0079475D">
        <w:rPr>
          <w:lang w:eastAsia="en-US"/>
        </w:rPr>
        <w:t xml:space="preserve"> as early as possible. The formal setting of the meetings may be adapted on a </w:t>
      </w:r>
      <w:r w:rsidR="00266BCA" w:rsidRPr="0079475D">
        <w:rPr>
          <w:lang w:eastAsia="en-US"/>
        </w:rPr>
        <w:t>case-by-case</w:t>
      </w:r>
      <w:r w:rsidRPr="0079475D">
        <w:rPr>
          <w:lang w:eastAsia="en-US"/>
        </w:rPr>
        <w:t xml:space="preserve"> basis, ranging from physical to virtual meetings or telephone conferences. </w:t>
      </w:r>
    </w:p>
    <w:p w14:paraId="3B4CE653" w14:textId="2763C7C2" w:rsidR="0079475D" w:rsidRPr="0079475D" w:rsidRDefault="0079475D" w:rsidP="0094794B">
      <w:pPr>
        <w:pStyle w:val="ListNumber"/>
        <w:rPr>
          <w:lang w:eastAsia="en-US"/>
        </w:rPr>
      </w:pPr>
      <w:r w:rsidRPr="0079475D">
        <w:rPr>
          <w:lang w:eastAsia="en-US"/>
        </w:rPr>
        <w:t>Although the CA</w:t>
      </w:r>
      <w:r w:rsidR="00724B82">
        <w:rPr>
          <w:lang w:eastAsia="en-US"/>
        </w:rPr>
        <w:t>s are</w:t>
      </w:r>
      <w:r w:rsidRPr="0079475D">
        <w:rPr>
          <w:lang w:eastAsia="en-US"/>
        </w:rPr>
        <w:t xml:space="preserve"> committed to provide the applicant with all necessary information in order to enable him to prepare a </w:t>
      </w:r>
      <w:r w:rsidR="00660F79">
        <w:rPr>
          <w:lang w:eastAsia="en-US"/>
        </w:rPr>
        <w:t>robust</w:t>
      </w:r>
      <w:r w:rsidRPr="0079475D">
        <w:rPr>
          <w:lang w:eastAsia="en-US"/>
        </w:rPr>
        <w:t xml:space="preserve"> dossier, it should be made clear that the content and quality </w:t>
      </w:r>
      <w:r w:rsidR="00266BCA">
        <w:rPr>
          <w:lang w:eastAsia="en-US"/>
        </w:rPr>
        <w:t>of the dossier are under</w:t>
      </w:r>
      <w:r w:rsidRPr="0079475D">
        <w:rPr>
          <w:lang w:eastAsia="en-US"/>
        </w:rPr>
        <w:t xml:space="preserve"> the full and sole re</w:t>
      </w:r>
      <w:r w:rsidR="00724B82">
        <w:rPr>
          <w:lang w:eastAsia="en-US"/>
        </w:rPr>
        <w:t xml:space="preserve">sponsibility of the applicant. A </w:t>
      </w:r>
      <w:r w:rsidRPr="0079475D">
        <w:rPr>
          <w:lang w:eastAsia="en-US"/>
        </w:rPr>
        <w:t xml:space="preserve">clear distinction </w:t>
      </w:r>
      <w:r w:rsidR="00724B82">
        <w:rPr>
          <w:lang w:eastAsia="en-US"/>
        </w:rPr>
        <w:t xml:space="preserve">should also be made </w:t>
      </w:r>
      <w:r w:rsidRPr="0079475D">
        <w:rPr>
          <w:lang w:eastAsia="en-US"/>
        </w:rPr>
        <w:t xml:space="preserve">between the </w:t>
      </w:r>
      <w:r w:rsidR="004D27C7">
        <w:rPr>
          <w:lang w:eastAsia="en-US"/>
        </w:rPr>
        <w:t xml:space="preserve">role of </w:t>
      </w:r>
      <w:r w:rsidRPr="0079475D">
        <w:rPr>
          <w:lang w:eastAsia="en-US"/>
        </w:rPr>
        <w:t xml:space="preserve">a CA </w:t>
      </w:r>
      <w:r w:rsidR="004D27C7">
        <w:rPr>
          <w:lang w:eastAsia="en-US"/>
        </w:rPr>
        <w:t>and the type of service</w:t>
      </w:r>
      <w:r w:rsidRPr="0079475D">
        <w:rPr>
          <w:lang w:eastAsia="en-US"/>
        </w:rPr>
        <w:t xml:space="preserve"> an applicant can get from a professional consultancy. </w:t>
      </w:r>
      <w:r w:rsidR="00266BCA">
        <w:rPr>
          <w:lang w:eastAsia="en-US"/>
        </w:rPr>
        <w:t xml:space="preserve">Consequently, </w:t>
      </w:r>
      <w:r w:rsidRPr="0079475D">
        <w:rPr>
          <w:lang w:eastAsia="en-US"/>
        </w:rPr>
        <w:t>the support provided by the</w:t>
      </w:r>
      <w:r w:rsidR="006D2782">
        <w:rPr>
          <w:lang w:eastAsia="en-US"/>
        </w:rPr>
        <w:t xml:space="preserve"> </w:t>
      </w:r>
      <w:r w:rsidRPr="0079475D">
        <w:rPr>
          <w:lang w:eastAsia="en-US"/>
        </w:rPr>
        <w:t xml:space="preserve">CA at the pre-submission meeting(s) will have certain limitations and </w:t>
      </w:r>
      <w:r w:rsidR="00C55AB9" w:rsidRPr="0079475D">
        <w:rPr>
          <w:lang w:eastAsia="en-US"/>
        </w:rPr>
        <w:t>can</w:t>
      </w:r>
      <w:r w:rsidR="00C55AB9">
        <w:rPr>
          <w:lang w:eastAsia="en-US"/>
        </w:rPr>
        <w:t xml:space="preserve">not </w:t>
      </w:r>
      <w:r w:rsidRPr="0079475D">
        <w:rPr>
          <w:lang w:eastAsia="en-US"/>
        </w:rPr>
        <w:t xml:space="preserve">anticipate </w:t>
      </w:r>
      <w:r w:rsidR="00C55AB9">
        <w:rPr>
          <w:lang w:eastAsia="en-US"/>
        </w:rPr>
        <w:t xml:space="preserve">in any way </w:t>
      </w:r>
      <w:r w:rsidRPr="0079475D">
        <w:rPr>
          <w:lang w:eastAsia="en-US"/>
        </w:rPr>
        <w:t xml:space="preserve">the </w:t>
      </w:r>
      <w:r w:rsidR="00266BCA" w:rsidRPr="0079475D">
        <w:rPr>
          <w:lang w:eastAsia="en-US"/>
        </w:rPr>
        <w:t>outcome</w:t>
      </w:r>
      <w:r w:rsidR="00C55AB9">
        <w:rPr>
          <w:lang w:eastAsia="en-US"/>
        </w:rPr>
        <w:t>s</w:t>
      </w:r>
      <w:r w:rsidRPr="0079475D">
        <w:rPr>
          <w:lang w:eastAsia="en-US"/>
        </w:rPr>
        <w:t xml:space="preserve"> of the evaluation. </w:t>
      </w:r>
    </w:p>
    <w:p w14:paraId="102CBF6B" w14:textId="77777777" w:rsidR="00B55511" w:rsidRDefault="00421623" w:rsidP="009301D6">
      <w:pPr>
        <w:pStyle w:val="ListNumber"/>
        <w:rPr>
          <w:lang w:eastAsia="en-US"/>
        </w:rPr>
      </w:pPr>
      <w:r>
        <w:rPr>
          <w:lang w:eastAsia="en-US"/>
        </w:rPr>
        <w:t>Annex I to t</w:t>
      </w:r>
      <w:r w:rsidR="0079475D" w:rsidRPr="0079475D">
        <w:rPr>
          <w:lang w:eastAsia="en-US"/>
        </w:rPr>
        <w:t xml:space="preserve">his note outlines a </w:t>
      </w:r>
      <w:r>
        <w:rPr>
          <w:lang w:eastAsia="en-US"/>
        </w:rPr>
        <w:t>gradual</w:t>
      </w:r>
      <w:r w:rsidR="0079475D" w:rsidRPr="0079475D">
        <w:rPr>
          <w:lang w:eastAsia="en-US"/>
        </w:rPr>
        <w:t xml:space="preserve"> approach for</w:t>
      </w:r>
      <w:r>
        <w:rPr>
          <w:lang w:eastAsia="en-US"/>
        </w:rPr>
        <w:t xml:space="preserve"> </w:t>
      </w:r>
      <w:r w:rsidRPr="0079475D">
        <w:rPr>
          <w:lang w:eastAsia="en-US"/>
        </w:rPr>
        <w:t>the preparation of pre</w:t>
      </w:r>
      <w:r>
        <w:rPr>
          <w:lang w:eastAsia="en-US"/>
        </w:rPr>
        <w:t>-</w:t>
      </w:r>
      <w:r w:rsidRPr="0079475D">
        <w:rPr>
          <w:lang w:eastAsia="en-US"/>
        </w:rPr>
        <w:t>submission meetings</w:t>
      </w:r>
      <w:r>
        <w:rPr>
          <w:lang w:eastAsia="en-US"/>
        </w:rPr>
        <w:t xml:space="preserve"> in view of finding an agreement with </w:t>
      </w:r>
      <w:r w:rsidR="00724B82">
        <w:rPr>
          <w:lang w:eastAsia="en-US"/>
        </w:rPr>
        <w:t>a</w:t>
      </w:r>
      <w:r>
        <w:rPr>
          <w:lang w:eastAsia="en-US"/>
        </w:rPr>
        <w:t xml:space="preserve"> CA to assess the BPF application.</w:t>
      </w:r>
    </w:p>
    <w:p w14:paraId="1FB8275E" w14:textId="77777777" w:rsidR="000C2831" w:rsidRDefault="00853B28" w:rsidP="000C2831">
      <w:pPr>
        <w:pStyle w:val="Heading2"/>
        <w:rPr>
          <w:lang w:eastAsia="en-US"/>
        </w:rPr>
      </w:pPr>
      <w:r>
        <w:rPr>
          <w:lang w:eastAsia="en-US"/>
        </w:rPr>
        <w:lastRenderedPageBreak/>
        <w:t>Assess</w:t>
      </w:r>
      <w:r w:rsidR="0087212A">
        <w:rPr>
          <w:lang w:eastAsia="en-US"/>
        </w:rPr>
        <w:t xml:space="preserve">ment of similarity </w:t>
      </w:r>
      <w:r w:rsidR="002C7C2E">
        <w:rPr>
          <w:lang w:eastAsia="en-US"/>
        </w:rPr>
        <w:t>in BPF by applicants</w:t>
      </w:r>
    </w:p>
    <w:p w14:paraId="76CAFD2A" w14:textId="77777777" w:rsidR="00853B28" w:rsidRPr="002419D3" w:rsidRDefault="000544F4" w:rsidP="00853B28">
      <w:pPr>
        <w:pStyle w:val="Heading3"/>
        <w:rPr>
          <w:b/>
          <w:u w:val="single"/>
          <w:lang w:eastAsia="en-US"/>
        </w:rPr>
      </w:pPr>
      <w:r w:rsidRPr="002419D3">
        <w:rPr>
          <w:b/>
          <w:u w:val="single"/>
          <w:lang w:eastAsia="en-US"/>
        </w:rPr>
        <w:t>Decision tree for assessment of similarity</w:t>
      </w:r>
    </w:p>
    <w:p w14:paraId="645F210D" w14:textId="77777777" w:rsidR="00E32900" w:rsidRDefault="00E32900" w:rsidP="00E32900">
      <w:pPr>
        <w:pStyle w:val="ListNumber"/>
        <w:rPr>
          <w:lang w:eastAsia="en-US"/>
        </w:rPr>
      </w:pPr>
      <w:r>
        <w:rPr>
          <w:lang w:eastAsia="en-US"/>
        </w:rPr>
        <w:t>According to Article 3(1)(s) of the BPR, a biocidal product family (BPF) is defined as a group of products having similar uses, the same active substances, similar composition within specified variations and similar levels of risk and efficacy.</w:t>
      </w:r>
    </w:p>
    <w:p w14:paraId="3083E609" w14:textId="39F3342B" w:rsidR="00954BBB" w:rsidRPr="00954BBB" w:rsidRDefault="00E32900" w:rsidP="00E32900">
      <w:pPr>
        <w:pStyle w:val="ListNumber"/>
        <w:rPr>
          <w:lang w:eastAsia="en-US"/>
        </w:rPr>
      </w:pPr>
      <w:r>
        <w:rPr>
          <w:lang w:eastAsia="en-US"/>
        </w:rPr>
        <w:t>In order to assess whether a BPF meets the BPR definition of family concerning similarity, the steps in Figure 1 should be followed. For each step</w:t>
      </w:r>
      <w:r w:rsidR="0074009D">
        <w:rPr>
          <w:lang w:eastAsia="en-US"/>
        </w:rPr>
        <w:t xml:space="preserve">, </w:t>
      </w:r>
      <w:r>
        <w:rPr>
          <w:lang w:eastAsia="en-US"/>
        </w:rPr>
        <w:t>the criteria detailed in the follow-up sections should be addressed.</w:t>
      </w:r>
    </w:p>
    <w:p w14:paraId="4F1CB9D7" w14:textId="77777777" w:rsidR="00A92738" w:rsidRPr="00A92738" w:rsidRDefault="00633A0B" w:rsidP="00E32900">
      <w:r>
        <w:object w:dxaOrig="7525" w:dyaOrig="7765" w14:anchorId="3A990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25pt;height:388.25pt" o:ole="">
            <v:imagedata r:id="rId16" o:title=""/>
          </v:shape>
          <o:OLEObject Type="Embed" ProgID="Visio.Drawing.15" ShapeID="_x0000_i1025" DrawAspect="Content" ObjectID="_1649762634" r:id="rId17"/>
        </w:object>
      </w:r>
    </w:p>
    <w:p w14:paraId="1C124D64" w14:textId="54626FAA" w:rsidR="00E02972" w:rsidRDefault="00E02972" w:rsidP="00E02972">
      <w:r w:rsidRPr="00E02972">
        <w:rPr>
          <w:b/>
        </w:rPr>
        <w:t>Figure 1</w:t>
      </w:r>
      <w:r>
        <w:t xml:space="preserve">: </w:t>
      </w:r>
      <w:r w:rsidR="002E1E5E">
        <w:t>Overview of</w:t>
      </w:r>
      <w:r w:rsidR="00172C98">
        <w:t xml:space="preserve"> </w:t>
      </w:r>
      <w:r>
        <w:t>the assessment of the similarity criteria</w:t>
      </w:r>
    </w:p>
    <w:p w14:paraId="052FB878" w14:textId="5F62B954" w:rsidR="000544F4" w:rsidRDefault="000544F4" w:rsidP="000544F4">
      <w:pPr>
        <w:pStyle w:val="Heading3"/>
        <w:rPr>
          <w:b/>
          <w:u w:val="single"/>
        </w:rPr>
      </w:pPr>
      <w:r w:rsidRPr="002419D3">
        <w:rPr>
          <w:b/>
          <w:u w:val="single"/>
        </w:rPr>
        <w:t>Similarity of composition</w:t>
      </w:r>
      <w:r w:rsidR="00954BBB" w:rsidRPr="002419D3">
        <w:rPr>
          <w:b/>
          <w:u w:val="single"/>
        </w:rPr>
        <w:t xml:space="preserve"> within </w:t>
      </w:r>
      <w:r w:rsidR="00391092">
        <w:rPr>
          <w:b/>
          <w:u w:val="single"/>
        </w:rPr>
        <w:t>specified variation</w:t>
      </w:r>
    </w:p>
    <w:p w14:paraId="12C47D7B" w14:textId="77777777" w:rsidR="00C67434" w:rsidRPr="00C67434" w:rsidRDefault="00E859AC" w:rsidP="00C67434">
      <w:pPr>
        <w:pStyle w:val="ChapterTitle"/>
        <w:spacing w:after="240"/>
        <w:rPr>
          <w:sz w:val="28"/>
          <w:szCs w:val="28"/>
        </w:rPr>
      </w:pPr>
      <w:r>
        <w:rPr>
          <w:sz w:val="28"/>
          <w:szCs w:val="28"/>
        </w:rPr>
        <w:t xml:space="preserve">Similar </w:t>
      </w:r>
      <w:r w:rsidR="00C67434" w:rsidRPr="00C67434">
        <w:rPr>
          <w:sz w:val="28"/>
          <w:szCs w:val="28"/>
        </w:rPr>
        <w:t>composition</w:t>
      </w:r>
      <w:r w:rsidR="00172C98">
        <w:rPr>
          <w:sz w:val="28"/>
          <w:szCs w:val="28"/>
        </w:rPr>
        <w:t xml:space="preserve">: </w:t>
      </w:r>
      <w:r>
        <w:rPr>
          <w:sz w:val="28"/>
          <w:szCs w:val="28"/>
        </w:rPr>
        <w:t xml:space="preserve">definition of </w:t>
      </w:r>
      <w:r w:rsidR="00172C98">
        <w:rPr>
          <w:sz w:val="28"/>
          <w:szCs w:val="28"/>
        </w:rPr>
        <w:t>the backbone composition</w:t>
      </w:r>
    </w:p>
    <w:p w14:paraId="170E9FC4" w14:textId="77777777" w:rsidR="00511BED" w:rsidRDefault="00511BED" w:rsidP="003A4C68">
      <w:pPr>
        <w:pStyle w:val="ListNumber"/>
      </w:pPr>
      <w:r>
        <w:t>By definition, products belonging to a BPF must have a similar composition within specified variations. This has to be understood as different compositions within specified boundaries.</w:t>
      </w:r>
    </w:p>
    <w:p w14:paraId="2713F201" w14:textId="77777777" w:rsidR="003049F8" w:rsidRDefault="00F45D08" w:rsidP="003A4C68">
      <w:pPr>
        <w:pStyle w:val="ListNumber"/>
      </w:pPr>
      <w:r w:rsidRPr="00F45D08">
        <w:lastRenderedPageBreak/>
        <w:t xml:space="preserve">To allow for deciding which individual products can be regarded as similar in composition, a so called “backbone composition” should be established within a BPF. The </w:t>
      </w:r>
      <w:r w:rsidR="00172C98">
        <w:t>backbone composition is defined as follows</w:t>
      </w:r>
      <w:r>
        <w:t>:</w:t>
      </w:r>
    </w:p>
    <w:p w14:paraId="4337D4FF" w14:textId="6C7CD09A" w:rsidR="00D05980" w:rsidRPr="003049F8" w:rsidRDefault="00D05980" w:rsidP="00D05980">
      <w:pPr>
        <w:pStyle w:val="ListNumber"/>
        <w:rPr>
          <w:b/>
        </w:rPr>
      </w:pPr>
      <w:r w:rsidRPr="003049F8">
        <w:rPr>
          <w:b/>
        </w:rPr>
        <w:t>Each individual member of the BPF should contain the same basic set of ingredients</w:t>
      </w:r>
      <w:r w:rsidR="002E1E5E">
        <w:rPr>
          <w:rStyle w:val="FootnoteReference"/>
          <w:b/>
        </w:rPr>
        <w:footnoteReference w:id="3"/>
      </w:r>
      <w:r w:rsidRPr="003049F8">
        <w:rPr>
          <w:b/>
        </w:rPr>
        <w:t xml:space="preserve">, </w:t>
      </w:r>
      <w:r w:rsidRPr="005304AD">
        <w:rPr>
          <w:b/>
          <w:u w:val="single"/>
        </w:rPr>
        <w:t>which is essential to formulate all products</w:t>
      </w:r>
      <w:r w:rsidRPr="003049F8">
        <w:rPr>
          <w:b/>
        </w:rPr>
        <w:t xml:space="preserve"> within the biocidal product family. Individual products may still contain additional ingredients to comply with the needs for some envisaged individual uses.</w:t>
      </w:r>
    </w:p>
    <w:p w14:paraId="4FF32329" w14:textId="5F1DF713" w:rsidR="00BD597D" w:rsidRDefault="007F5A69" w:rsidP="007F5A69">
      <w:pPr>
        <w:pStyle w:val="ListNumber"/>
      </w:pPr>
      <w:r>
        <w:t xml:space="preserve">This backbone composition should contain </w:t>
      </w:r>
      <w:r w:rsidR="00BD597D">
        <w:t xml:space="preserve">one or </w:t>
      </w:r>
      <w:r w:rsidR="003049F8">
        <w:t>more</w:t>
      </w:r>
      <w:r>
        <w:t xml:space="preserve"> active substance(s) and </w:t>
      </w:r>
      <w:r w:rsidR="003049F8">
        <w:t>one or more</w:t>
      </w:r>
      <w:r>
        <w:t xml:space="preserve"> co-formulant(s), which is (are) essential to formulate all the products. The pre-requisite of “essential to formulate” refers to co-formulants such as complexing agents, binders, pH-regulators, or a specific solvent needed </w:t>
      </w:r>
      <w:r w:rsidRPr="0009498A">
        <w:t>to formulate</w:t>
      </w:r>
      <w:r>
        <w:t xml:space="preserve"> any individual product in the BPF. It does not refer to easy exchangeable co-formulants like perfumes, pigments, dyes, skin care agents, tensides or co-formulants added to address </w:t>
      </w:r>
      <w:r w:rsidR="00BD597D">
        <w:t>the needs of</w:t>
      </w:r>
      <w:r>
        <w:t xml:space="preserve"> some envisaged individual uses, for example corrosion inhibitors or scale inhibitors</w:t>
      </w:r>
      <w:r w:rsidR="00DA0100">
        <w:rPr>
          <w:rStyle w:val="FootnoteReference"/>
        </w:rPr>
        <w:footnoteReference w:id="4"/>
      </w:r>
      <w:r>
        <w:t xml:space="preserve">.  Additionally, </w:t>
      </w:r>
      <w:r w:rsidR="001A45A1">
        <w:t xml:space="preserve">the applicant should not consider </w:t>
      </w:r>
      <w:r>
        <w:t>co-formulants added to ensure compatibility with a certain packaging material as essential to formulate and, therefore should not be included in the backbone composition.</w:t>
      </w:r>
    </w:p>
    <w:p w14:paraId="3D98C4A5" w14:textId="77777777" w:rsidR="007F5A69" w:rsidRDefault="00993410" w:rsidP="007F5A69">
      <w:pPr>
        <w:pStyle w:val="ListNumber"/>
      </w:pPr>
      <w:r>
        <w:t>The applicant should provide a</w:t>
      </w:r>
      <w:r w:rsidR="007F5A69">
        <w:t xml:space="preserve"> robust explanation on how the backbone composition </w:t>
      </w:r>
      <w:r w:rsidR="001A45A1">
        <w:t>was</w:t>
      </w:r>
      <w:r w:rsidR="007F5A69">
        <w:t xml:space="preserve"> derived from the individual product compositions</w:t>
      </w:r>
      <w:r w:rsidR="00802C7D">
        <w:t>. The evaluating CA will examine</w:t>
      </w:r>
      <w:r w:rsidR="007F5A69">
        <w:t xml:space="preserve"> such justification during the assessment of the applications in order to avoid any abuse of the concept by including “essential to formulate” co-formulants at a very low concentration (e.g. 0.1% or lower) in all products, so that any product falls within the “backbone composition” and therefore meets the criterion of similar composition.</w:t>
      </w:r>
    </w:p>
    <w:p w14:paraId="28BCC53C" w14:textId="77777777" w:rsidR="00863CA0" w:rsidRDefault="00F116A0" w:rsidP="007F5A69">
      <w:pPr>
        <w:pStyle w:val="ListNumber"/>
      </w:pPr>
      <w:r>
        <w:t>However, the e</w:t>
      </w:r>
      <w:r w:rsidR="00863CA0">
        <w:t xml:space="preserve">valuating authorities could accept </w:t>
      </w:r>
      <w:r w:rsidR="00422B03">
        <w:t xml:space="preserve">the following </w:t>
      </w:r>
      <w:r w:rsidR="001A26E5">
        <w:t>exceptions</w:t>
      </w:r>
      <w:r>
        <w:t>:</w:t>
      </w:r>
      <w:r w:rsidR="00863CA0">
        <w:t xml:space="preserve"> </w:t>
      </w:r>
    </w:p>
    <w:p w14:paraId="6CE759B9" w14:textId="77777777" w:rsidR="00863CA0" w:rsidRDefault="007F5A69" w:rsidP="009D0712">
      <w:pPr>
        <w:pStyle w:val="ListNumber1Level2"/>
        <w:numPr>
          <w:ilvl w:val="1"/>
          <w:numId w:val="43"/>
        </w:numPr>
      </w:pPr>
      <w:r>
        <w:t xml:space="preserve">carrier-based products as defined in CA-Nov16-Doc.4.3-Final. </w:t>
      </w:r>
    </w:p>
    <w:p w14:paraId="026A00A0" w14:textId="77777777" w:rsidR="00863CA0" w:rsidRDefault="007F5A69" w:rsidP="005D11F5">
      <w:pPr>
        <w:pStyle w:val="ListNumber1Level2"/>
      </w:pPr>
      <w:r>
        <w:t>concentrates which only consist of the active substance itself</w:t>
      </w:r>
      <w:r w:rsidR="00636A57">
        <w:rPr>
          <w:rStyle w:val="FootnoteReference"/>
        </w:rPr>
        <w:footnoteReference w:id="5"/>
      </w:r>
      <w:r>
        <w:t xml:space="preserve"> or</w:t>
      </w:r>
      <w:r w:rsidR="00863CA0">
        <w:t>;</w:t>
      </w:r>
    </w:p>
    <w:p w14:paraId="37A6BBB0" w14:textId="77777777" w:rsidR="00F44BE4" w:rsidRDefault="00863CA0" w:rsidP="005D11F5">
      <w:pPr>
        <w:pStyle w:val="ListNumber1Level2"/>
      </w:pPr>
      <w:r>
        <w:t>f</w:t>
      </w:r>
      <w:r w:rsidR="007F5A69">
        <w:t>ormulations of the active substance, that do not contain co-formulants which are essential to formulate the biocidal product</w:t>
      </w:r>
      <w:r w:rsidR="00636A57">
        <w:rPr>
          <w:rStyle w:val="FootnoteReference"/>
        </w:rPr>
        <w:footnoteReference w:id="6"/>
      </w:r>
      <w:r w:rsidR="007F5A69">
        <w:t xml:space="preserve">. </w:t>
      </w:r>
    </w:p>
    <w:p w14:paraId="127B264F" w14:textId="77777777" w:rsidR="007F5A69" w:rsidRDefault="007F5A69" w:rsidP="00495166">
      <w:pPr>
        <w:pStyle w:val="ListNumber"/>
        <w:numPr>
          <w:ilvl w:val="0"/>
          <w:numId w:val="0"/>
        </w:numPr>
        <w:ind w:left="992"/>
      </w:pPr>
      <w:r>
        <w:t>In cases</w:t>
      </w:r>
      <w:r w:rsidR="00F44BE4">
        <w:t xml:space="preserve"> </w:t>
      </w:r>
      <w:r w:rsidR="00495166">
        <w:t>b) and c)</w:t>
      </w:r>
      <w:r w:rsidR="00690CE5">
        <w:t>,</w:t>
      </w:r>
      <w:r>
        <w:t xml:space="preserve"> the backbone composition </w:t>
      </w:r>
      <w:r w:rsidR="00690CE5">
        <w:t>might</w:t>
      </w:r>
      <w:r>
        <w:t xml:space="preserve"> consist of the active substance itself.</w:t>
      </w:r>
    </w:p>
    <w:p w14:paraId="1979673D" w14:textId="77777777" w:rsidR="007F5A69" w:rsidRDefault="00F44BE4" w:rsidP="007F5A69">
      <w:pPr>
        <w:pStyle w:val="ListNumber"/>
      </w:pPr>
      <w:r>
        <w:t xml:space="preserve">The range of co-formulants that are essential to formulate </w:t>
      </w:r>
      <w:r w:rsidRPr="0009498A">
        <w:rPr>
          <w:u w:val="single"/>
        </w:rPr>
        <w:t>belonging to the backbone composition</w:t>
      </w:r>
      <w:r>
        <w:t xml:space="preserve"> have to be included in range starting </w:t>
      </w:r>
      <w:r w:rsidR="00F45559">
        <w:t xml:space="preserve">from </w:t>
      </w:r>
      <w:r>
        <w:t xml:space="preserve">above 0 percent minimum content. </w:t>
      </w:r>
      <w:r w:rsidR="007F5A69">
        <w:t xml:space="preserve">In addition, the minimal concentration shall be set </w:t>
      </w:r>
      <w:r w:rsidR="007F5A69">
        <w:lastRenderedPageBreak/>
        <w:t xml:space="preserve">in such a manner that the presence of each co-formulant remains </w:t>
      </w:r>
      <w:r w:rsidR="00690CE5">
        <w:t>essential</w:t>
      </w:r>
      <w:r w:rsidR="007F5A69">
        <w:t xml:space="preserve"> for each product included in the BPF.</w:t>
      </w:r>
    </w:p>
    <w:p w14:paraId="617A4E06" w14:textId="77777777" w:rsidR="007F5A69" w:rsidRDefault="00690CE5" w:rsidP="007F5A69">
      <w:pPr>
        <w:pStyle w:val="ListNumber"/>
      </w:pPr>
      <w:r>
        <w:t>T</w:t>
      </w:r>
      <w:r w:rsidR="007F5A69">
        <w:t>his rule can only help to address the similarity of composition of individual products within a BPF-application. Situations may occur where individual products may pass the “similar composition” criterion but may fail to pass the “similar use” or “similar levels of risk and efficacy” criteria. Only products fulfilling all provisions of Article 3(1)(s) of the BPR will be accepted to stay in the BPF.</w:t>
      </w:r>
    </w:p>
    <w:p w14:paraId="0271153D" w14:textId="77777777" w:rsidR="00F45D08" w:rsidRDefault="007F5A69" w:rsidP="00D34658">
      <w:pPr>
        <w:pStyle w:val="ListNumber"/>
      </w:pPr>
      <w:r>
        <w:t>Several examples are</w:t>
      </w:r>
      <w:r w:rsidR="00690CE5">
        <w:t xml:space="preserve"> </w:t>
      </w:r>
      <w:r>
        <w:t xml:space="preserve">presented in Annex </w:t>
      </w:r>
      <w:r w:rsidR="00802C7D">
        <w:t>II</w:t>
      </w:r>
      <w:r>
        <w:t xml:space="preserve"> in order to illustrate how the proposed approach for “</w:t>
      </w:r>
      <w:r w:rsidR="006278B9">
        <w:t>s</w:t>
      </w:r>
      <w:r>
        <w:t>imilar composition” can be applied.</w:t>
      </w:r>
    </w:p>
    <w:p w14:paraId="47487F9B" w14:textId="77777777" w:rsidR="00C67434" w:rsidRPr="00C67434" w:rsidRDefault="00C67434" w:rsidP="0087212A">
      <w:pPr>
        <w:pStyle w:val="HistTableHeading"/>
        <w:spacing w:after="240"/>
        <w:rPr>
          <w:sz w:val="28"/>
          <w:szCs w:val="28"/>
        </w:rPr>
      </w:pPr>
      <w:r w:rsidRPr="00C67434">
        <w:rPr>
          <w:sz w:val="28"/>
          <w:szCs w:val="28"/>
        </w:rPr>
        <w:t>Grouping of co-formulants</w:t>
      </w:r>
    </w:p>
    <w:p w14:paraId="43542ADD" w14:textId="77777777" w:rsidR="00C67434" w:rsidRDefault="00C67434" w:rsidP="00C67434">
      <w:pPr>
        <w:pStyle w:val="ListNumber"/>
      </w:pPr>
      <w:r>
        <w:t>According Article 3(1)(s) of the BPR a biocidal product family refers to a group of products having similar uses, the same active substances, similar composition within specified variations and simi</w:t>
      </w:r>
      <w:r w:rsidR="004C3EEF">
        <w:t>lar levels of risk and efficacy</w:t>
      </w:r>
      <w:r>
        <w:t xml:space="preserve">. In order to clarify what is exactly authorised within a BPF, it is crucial to make clear which variations in compositions are allowed for the authorisation. </w:t>
      </w:r>
    </w:p>
    <w:p w14:paraId="0EFD2AB1" w14:textId="139AF23C" w:rsidR="00C67434" w:rsidRPr="00ED2226" w:rsidRDefault="00C67434" w:rsidP="00C67434">
      <w:pPr>
        <w:pStyle w:val="ListNumber"/>
        <w:rPr>
          <w:strike/>
        </w:rPr>
      </w:pPr>
      <w:r>
        <w:t xml:space="preserve">Applications for BPF can contain biocidal products with </w:t>
      </w:r>
      <w:r w:rsidR="001320E8">
        <w:t>varying</w:t>
      </w:r>
      <w:r>
        <w:t xml:space="preserve"> compositions. At </w:t>
      </w:r>
      <w:r w:rsidR="007716CA">
        <w:t xml:space="preserve">the </w:t>
      </w:r>
      <w:r>
        <w:t>1</w:t>
      </w:r>
      <w:r w:rsidRPr="00A22940">
        <w:rPr>
          <w:vertAlign w:val="superscript"/>
        </w:rPr>
        <w:t>st</w:t>
      </w:r>
      <w:r>
        <w:t xml:space="preserve"> </w:t>
      </w:r>
      <w:r w:rsidR="007716CA">
        <w:t xml:space="preserve">SPC </w:t>
      </w:r>
      <w:r>
        <w:t>and even 2</w:t>
      </w:r>
      <w:r w:rsidRPr="00A22940">
        <w:rPr>
          <w:vertAlign w:val="superscript"/>
        </w:rPr>
        <w:t>nd</w:t>
      </w:r>
      <w:r>
        <w:t xml:space="preserve"> </w:t>
      </w:r>
      <w:r w:rsidR="007716CA">
        <w:t xml:space="preserve">SPC </w:t>
      </w:r>
      <w:r>
        <w:t>level of information all</w:t>
      </w:r>
      <w:r w:rsidR="009810D8">
        <w:t xml:space="preserve"> possible</w:t>
      </w:r>
      <w:r>
        <w:t xml:space="preserve"> co-formulants with their concentrations ranging from</w:t>
      </w:r>
      <w:r w:rsidR="000106E9">
        <w:t xml:space="preserve"> </w:t>
      </w:r>
      <w:r>
        <w:t xml:space="preserve">0 % to the maximum concentration </w:t>
      </w:r>
      <w:r w:rsidR="00FD5CBD">
        <w:t>can</w:t>
      </w:r>
      <w:r>
        <w:t xml:space="preserve"> be listed</w:t>
      </w:r>
      <w:r w:rsidR="006F2B57">
        <w:t>.</w:t>
      </w:r>
    </w:p>
    <w:p w14:paraId="215B89F1" w14:textId="102EF8B1" w:rsidR="00C67434" w:rsidRDefault="00C67434" w:rsidP="00C67434">
      <w:pPr>
        <w:pStyle w:val="ListNumber"/>
      </w:pPr>
      <w:r>
        <w:t>Grouping of products at meta-SPCs (2nd information level) and specification of a minimum concentration</w:t>
      </w:r>
      <w:r w:rsidR="00FD5CBD">
        <w:t xml:space="preserve"> greater than </w:t>
      </w:r>
      <w:r>
        <w:t xml:space="preserve">zero and a maximum concentration of the co-formulants </w:t>
      </w:r>
      <w:r w:rsidR="000106E9">
        <w:t xml:space="preserve">may help to avoid </w:t>
      </w:r>
      <w:r>
        <w:t>this situation</w:t>
      </w:r>
      <w:r w:rsidR="00C03EA2">
        <w:t xml:space="preserve"> by clarifiying the scope of the application</w:t>
      </w:r>
      <w:r>
        <w:t>.</w:t>
      </w:r>
    </w:p>
    <w:p w14:paraId="4FC79A86" w14:textId="77777777" w:rsidR="00C67434" w:rsidRDefault="00C67434" w:rsidP="00C67434">
      <w:pPr>
        <w:pStyle w:val="ListNumber"/>
      </w:pPr>
      <w:r>
        <w:t>To facilitate the description of meta-SPCs and to avoid excessive splitting, applicants should be allowed, when appropriate, to group co-formulants having the same function</w:t>
      </w:r>
      <w:r w:rsidR="00760FEC">
        <w:t xml:space="preserve"> (See Annex III)</w:t>
      </w:r>
      <w:r w:rsidR="00BE2A2B">
        <w:t>.</w:t>
      </w:r>
    </w:p>
    <w:p w14:paraId="377FD475" w14:textId="0932B8AC" w:rsidR="00C67434" w:rsidRDefault="00C67434" w:rsidP="00C67434">
      <w:pPr>
        <w:pStyle w:val="ListNumber"/>
      </w:pPr>
      <w:r>
        <w:t xml:space="preserve">The grouping approach would also avoid that a product is notified that does not fit with the composition covered by the BPF authorisation. The declaration of a range of concentration </w:t>
      </w:r>
      <w:r w:rsidR="00760FEC">
        <w:t xml:space="preserve">for the grouped co-formulants </w:t>
      </w:r>
      <w:r>
        <w:t>(</w:t>
      </w:r>
      <w:r w:rsidR="003B0E06">
        <w:t xml:space="preserve">above </w:t>
      </w:r>
      <w:r>
        <w:t>0% and</w:t>
      </w:r>
      <w:r w:rsidR="002A320D">
        <w:t xml:space="preserve"> up to</w:t>
      </w:r>
      <w:r>
        <w:t xml:space="preserve"> the maximum level) at the 2nd level of the SPC and the declaration of the exact composition of each member of the group within that range at the 3rd level of the SPC should help to alleviate this concern.</w:t>
      </w:r>
    </w:p>
    <w:p w14:paraId="3E0654CF" w14:textId="77777777" w:rsidR="00C67434" w:rsidRDefault="00C67434" w:rsidP="00C67434">
      <w:pPr>
        <w:pStyle w:val="ListNumber"/>
      </w:pPr>
      <w:r>
        <w:t xml:space="preserve">It should be allowed, but not mandatory, to group some co-formulants together, provided that they: </w:t>
      </w:r>
    </w:p>
    <w:p w14:paraId="13F06DE8" w14:textId="77777777" w:rsidR="00C67434" w:rsidRDefault="00C67434" w:rsidP="009D0712">
      <w:pPr>
        <w:pStyle w:val="ListNumber1Level2"/>
        <w:numPr>
          <w:ilvl w:val="1"/>
          <w:numId w:val="42"/>
        </w:numPr>
        <w:spacing w:after="120"/>
      </w:pPr>
      <w:r>
        <w:t xml:space="preserve">have the same function,  </w:t>
      </w:r>
    </w:p>
    <w:p w14:paraId="09B5158E" w14:textId="77777777" w:rsidR="00C67434" w:rsidRDefault="00C67434" w:rsidP="00B364AF">
      <w:pPr>
        <w:pStyle w:val="ListNumber1Level2"/>
        <w:spacing w:after="120"/>
      </w:pPr>
      <w:r>
        <w:t xml:space="preserve">have the same impact on the classification (i.e. resulting in the same hazard and </w:t>
      </w:r>
      <w:r w:rsidR="00FD5CBD">
        <w:t xml:space="preserve">precautionary </w:t>
      </w:r>
      <w:r>
        <w:t>statem</w:t>
      </w:r>
      <w:r w:rsidR="00FD5CBD">
        <w:t>ents) for the whole formulation,</w:t>
      </w:r>
      <w:r>
        <w:t xml:space="preserve"> </w:t>
      </w:r>
    </w:p>
    <w:p w14:paraId="0308ABE0" w14:textId="77777777" w:rsidR="00C67434" w:rsidRDefault="00C67434" w:rsidP="00B364AF">
      <w:pPr>
        <w:pStyle w:val="ListNumber1Level2"/>
        <w:spacing w:after="120"/>
      </w:pPr>
      <w:r>
        <w:t>have</w:t>
      </w:r>
      <w:r w:rsidR="00E32319">
        <w:t xml:space="preserve"> </w:t>
      </w:r>
      <w:r>
        <w:t xml:space="preserve">the same impact on the level of risk and efficacy of the formulation. </w:t>
      </w:r>
    </w:p>
    <w:p w14:paraId="7EB66831" w14:textId="4F9523AC" w:rsidR="00C67434" w:rsidRDefault="00C67434" w:rsidP="00C67434">
      <w:pPr>
        <w:pStyle w:val="ListNumber"/>
      </w:pPr>
      <w:r>
        <w:t xml:space="preserve">As a prerequisite for grouping, a </w:t>
      </w:r>
      <w:r w:rsidR="002C7CF6">
        <w:t xml:space="preserve">clarification of the different functions of </w:t>
      </w:r>
      <w:r>
        <w:t xml:space="preserve">co-formulant </w:t>
      </w:r>
      <w:r w:rsidR="002C7CF6">
        <w:t xml:space="preserve">in biocidal products </w:t>
      </w:r>
      <w:r>
        <w:t xml:space="preserve">is </w:t>
      </w:r>
      <w:r w:rsidR="002C7CF6">
        <w:t xml:space="preserve">under development by the </w:t>
      </w:r>
      <w:r w:rsidR="003C7423">
        <w:t xml:space="preserve">APCP working </w:t>
      </w:r>
      <w:r w:rsidR="003C7423">
        <w:lastRenderedPageBreak/>
        <w:t xml:space="preserve">group and will be endorsed by the </w:t>
      </w:r>
      <w:r w:rsidR="00E81237">
        <w:t>CG</w:t>
      </w:r>
      <w:r>
        <w:t>. Grouping might not be always possible. In any case, the applicant</w:t>
      </w:r>
      <w:r w:rsidR="00660F79">
        <w:t>s</w:t>
      </w:r>
      <w:r>
        <w:t xml:space="preserve"> should demonstrate the </w:t>
      </w:r>
      <w:r w:rsidR="00660F79">
        <w:t>rationale regarding their</w:t>
      </w:r>
      <w:r w:rsidR="00E32319">
        <w:t xml:space="preserve"> </w:t>
      </w:r>
      <w:r>
        <w:t>choice by using sound arguments</w:t>
      </w:r>
      <w:r w:rsidR="006B15B8">
        <w:t xml:space="preserve"> and </w:t>
      </w:r>
      <w:r w:rsidR="00E32319">
        <w:t>data where necessary</w:t>
      </w:r>
      <w:r>
        <w:t xml:space="preserve">. </w:t>
      </w:r>
    </w:p>
    <w:p w14:paraId="36C82C5F" w14:textId="278657A0" w:rsidR="00C67434" w:rsidRDefault="00C67434" w:rsidP="00C67434">
      <w:pPr>
        <w:pStyle w:val="ListNumber"/>
      </w:pPr>
      <w:r>
        <w:t>When grouping is applied, it is also necessary to specify if the grouped co-formulants are</w:t>
      </w:r>
      <w:r w:rsidR="00AA28D6">
        <w:t xml:space="preserve"> </w:t>
      </w:r>
      <w:r w:rsidR="006B15B8">
        <w:t xml:space="preserve">meant to be </w:t>
      </w:r>
      <w:r>
        <w:t xml:space="preserve">used </w:t>
      </w:r>
      <w:r w:rsidRPr="008A539B">
        <w:t xml:space="preserve">together </w:t>
      </w:r>
      <w:r w:rsidR="00A03FA8" w:rsidRPr="008A539B">
        <w:t xml:space="preserve">(‘and’) </w:t>
      </w:r>
      <w:r w:rsidRPr="008A539B">
        <w:t xml:space="preserve">or if </w:t>
      </w:r>
      <w:r w:rsidR="006B15B8" w:rsidRPr="008A539B">
        <w:t xml:space="preserve">they should be used </w:t>
      </w:r>
      <w:r w:rsidR="006B15B8" w:rsidRPr="00ED2226">
        <w:t>exclusively</w:t>
      </w:r>
      <w:r w:rsidR="00A03FA8" w:rsidRPr="008A539B">
        <w:t xml:space="preserve"> (‘or’) or if both should</w:t>
      </w:r>
      <w:r w:rsidR="00A03FA8">
        <w:t xml:space="preserve"> be possible (‘and/or’)</w:t>
      </w:r>
      <w:r>
        <w:t xml:space="preserve">. </w:t>
      </w:r>
    </w:p>
    <w:p w14:paraId="385AF9C6" w14:textId="77777777" w:rsidR="00C67434" w:rsidRDefault="00C67434" w:rsidP="0087212A">
      <w:pPr>
        <w:pStyle w:val="ListNumber"/>
      </w:pPr>
      <w:r>
        <w:t>Annex II</w:t>
      </w:r>
      <w:r w:rsidR="00B364AF">
        <w:t>I</w:t>
      </w:r>
      <w:r>
        <w:t xml:space="preserve"> illustrates how co-formulants could be gro</w:t>
      </w:r>
      <w:r w:rsidR="0035454B">
        <w:t>uped and identified at the meta-SPC levels 2 and 3</w:t>
      </w:r>
    </w:p>
    <w:p w14:paraId="152D02CA" w14:textId="77777777" w:rsidR="000544F4" w:rsidRPr="009F146C" w:rsidRDefault="000544F4" w:rsidP="00133C1C">
      <w:pPr>
        <w:pStyle w:val="Heading3"/>
        <w:numPr>
          <w:ilvl w:val="2"/>
          <w:numId w:val="35"/>
        </w:numPr>
        <w:rPr>
          <w:b/>
          <w:u w:val="single"/>
        </w:rPr>
      </w:pPr>
      <w:r w:rsidRPr="009F146C">
        <w:rPr>
          <w:b/>
          <w:u w:val="single"/>
        </w:rPr>
        <w:t>Similarity of uses</w:t>
      </w:r>
    </w:p>
    <w:p w14:paraId="7AD0BB66" w14:textId="17D198A5" w:rsidR="00B410E6" w:rsidRDefault="00B410E6" w:rsidP="00B410E6">
      <w:pPr>
        <w:pStyle w:val="ListNumber"/>
      </w:pPr>
      <w:r>
        <w:t xml:space="preserve">The general criteria for deciding on whether a pair of uses is considered as similar is detailed </w:t>
      </w:r>
      <w:r w:rsidR="00177E4C">
        <w:t>i</w:t>
      </w:r>
      <w:r>
        <w:t>n the decision tree included below. Within a given family, all possible pairs of uses should be considered as similar.</w:t>
      </w:r>
    </w:p>
    <w:p w14:paraId="34B224DA" w14:textId="68875BEF" w:rsidR="00FD1E98" w:rsidRDefault="00B410E6" w:rsidP="009301D6">
      <w:pPr>
        <w:pStyle w:val="ListNumber"/>
      </w:pPr>
      <w:r>
        <w:t>An automated tool in the form of a matrix</w:t>
      </w:r>
      <w:r w:rsidR="00FD32A5">
        <w:rPr>
          <w:rStyle w:val="FootnoteReference"/>
        </w:rPr>
        <w:footnoteReference w:id="7"/>
      </w:r>
      <w:r>
        <w:t xml:space="preserve"> </w:t>
      </w:r>
      <w:r w:rsidR="008F4EDA">
        <w:t xml:space="preserve">is under development </w:t>
      </w:r>
      <w:r>
        <w:t xml:space="preserve">to assist </w:t>
      </w:r>
      <w:r w:rsidR="006B254D">
        <w:t>applicants and CAs in the</w:t>
      </w:r>
      <w:r>
        <w:t xml:space="preserve"> application of the criteria referred to in the decisi</w:t>
      </w:r>
      <w:r w:rsidR="00DA29E7">
        <w:t xml:space="preserve">on tree </w:t>
      </w:r>
      <w:r w:rsidR="00BE2A2B">
        <w:t>of Figure 2</w:t>
      </w:r>
      <w:r>
        <w:t>.</w:t>
      </w:r>
    </w:p>
    <w:p w14:paraId="313C8F25" w14:textId="77777777" w:rsidR="00DA29E7" w:rsidRDefault="00DA29E7" w:rsidP="003B3570">
      <w:pPr>
        <w:pStyle w:val="ListNumber"/>
        <w:numPr>
          <w:ilvl w:val="0"/>
          <w:numId w:val="0"/>
        </w:numPr>
        <w:ind w:left="992" w:hanging="709"/>
        <w:sectPr w:rsidR="00DA29E7">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cols w:space="720"/>
          <w:titlePg/>
          <w:docGrid w:linePitch="326"/>
        </w:sectPr>
      </w:pPr>
    </w:p>
    <w:p w14:paraId="7B4C5102" w14:textId="2BDECC8C" w:rsidR="00DA29E7" w:rsidRDefault="00177E4C" w:rsidP="00CC4F14">
      <w:pPr>
        <w:pStyle w:val="ListNumber"/>
        <w:numPr>
          <w:ilvl w:val="0"/>
          <w:numId w:val="0"/>
        </w:numPr>
        <w:spacing w:after="0"/>
        <w:ind w:left="992"/>
        <w:rPr>
          <w:rFonts w:ascii="Verdana" w:hAnsi="Verdana"/>
          <w:snapToGrid w:val="0"/>
          <w:sz w:val="20"/>
          <w:lang w:eastAsia="fi-FI"/>
        </w:rPr>
      </w:pPr>
      <w:r>
        <w:object w:dxaOrig="11341" w:dyaOrig="13153" w14:anchorId="4F867A74">
          <v:shape id="_x0000_i1026" type="#_x0000_t75" style="width:430.4pt;height:499.15pt" o:ole="">
            <v:imagedata r:id="rId24" o:title=""/>
          </v:shape>
          <o:OLEObject Type="Embed" ProgID="Visio.Drawing.15" ShapeID="_x0000_i1026" DrawAspect="Content" ObjectID="_1649762635" r:id="rId25"/>
        </w:object>
      </w:r>
    </w:p>
    <w:p w14:paraId="39CCC060" w14:textId="77777777" w:rsidR="00CC4F14" w:rsidRDefault="00CC4F14" w:rsidP="00CC4F14">
      <w:pPr>
        <w:pStyle w:val="ListNumber"/>
        <w:numPr>
          <w:ilvl w:val="0"/>
          <w:numId w:val="0"/>
        </w:numPr>
        <w:ind w:left="992"/>
      </w:pPr>
      <w:r w:rsidRPr="00CC4F14">
        <w:rPr>
          <w:b/>
        </w:rPr>
        <w:t>Figure 2</w:t>
      </w:r>
      <w:r>
        <w:t xml:space="preserve"> </w:t>
      </w:r>
      <w:r w:rsidRPr="00CC4F14">
        <w:rPr>
          <w:b/>
        </w:rPr>
        <w:t>:</w:t>
      </w:r>
      <w:r>
        <w:t xml:space="preserve"> Criteria to assess similarity of uses</w:t>
      </w:r>
    </w:p>
    <w:p w14:paraId="7EFCE615" w14:textId="77777777" w:rsidR="00FF3039" w:rsidRDefault="00FD1E98" w:rsidP="00AD3351">
      <w:pPr>
        <w:pStyle w:val="ListNumber"/>
      </w:pPr>
      <w:r>
        <w:t>T</w:t>
      </w:r>
      <w:r w:rsidR="00922158">
        <w:t>he general criteria for deciding on wh</w:t>
      </w:r>
      <w:r>
        <w:t>ether</w:t>
      </w:r>
      <w:r w:rsidR="00922158">
        <w:t xml:space="preserve"> a pair of uses is considered as similar is detailed on the decision tree</w:t>
      </w:r>
      <w:r w:rsidR="003B3570">
        <w:t xml:space="preserve"> above</w:t>
      </w:r>
      <w:r w:rsidR="00922158">
        <w:t xml:space="preserve"> (Figure 2).</w:t>
      </w:r>
      <w:r w:rsidR="001E34E4">
        <w:t xml:space="preserve"> </w:t>
      </w:r>
    </w:p>
    <w:p w14:paraId="4713B135" w14:textId="1BED11CD" w:rsidR="00AD3351" w:rsidRPr="00AD3351" w:rsidRDefault="005E5A11" w:rsidP="00AD3351">
      <w:pPr>
        <w:pStyle w:val="ListNumber"/>
      </w:pPr>
      <w:r>
        <w:t>S</w:t>
      </w:r>
      <w:r w:rsidR="00AD3351" w:rsidRPr="00AD3351">
        <w:t xml:space="preserve">ame type of "object" </w:t>
      </w:r>
      <w:r w:rsidR="00AD3351" w:rsidRPr="00AD3351">
        <w:rPr>
          <w:b/>
          <w:u w:val="single"/>
        </w:rPr>
        <w:t>within the same PT</w:t>
      </w:r>
      <w:r>
        <w:t xml:space="preserve"> for main groups 1 and 2 </w:t>
      </w:r>
      <w:r w:rsidR="00AD3351" w:rsidRPr="00AD3351">
        <w:t xml:space="preserve">has been considered when </w:t>
      </w:r>
      <w:r w:rsidR="00D82E4C">
        <w:t xml:space="preserve">both uses of </w:t>
      </w:r>
      <w:r w:rsidR="00AD3351" w:rsidRPr="00AD3351">
        <w:t>the biocidal product</w:t>
      </w:r>
      <w:r w:rsidR="00F40744">
        <w:t>s</w:t>
      </w:r>
      <w:r w:rsidR="00AD3351" w:rsidRPr="00AD3351">
        <w:t xml:space="preserve"> fall in one of the following categories</w:t>
      </w:r>
      <w:r w:rsidR="000936EA">
        <w:t xml:space="preserve"> (see references </w:t>
      </w:r>
      <w:r w:rsidR="009C0741">
        <w:t xml:space="preserve">(1) in the </w:t>
      </w:r>
      <w:r w:rsidR="000936EA">
        <w:t xml:space="preserve">column </w:t>
      </w:r>
      <w:r w:rsidR="004056B3">
        <w:t>‘</w:t>
      </w:r>
      <w:r w:rsidR="009C0741">
        <w:t>Use object, pattern category</w:t>
      </w:r>
      <w:r w:rsidR="004056B3">
        <w:t xml:space="preserve">’ </w:t>
      </w:r>
      <w:r w:rsidR="009C0741">
        <w:t xml:space="preserve">of Table 2 </w:t>
      </w:r>
      <w:r w:rsidR="004056B3">
        <w:t>in</w:t>
      </w:r>
      <w:r w:rsidR="009C0741">
        <w:t xml:space="preserve"> Annex IV)</w:t>
      </w:r>
      <w:r w:rsidR="00AD3351" w:rsidRPr="00AD3351">
        <w:t>:</w:t>
      </w:r>
    </w:p>
    <w:p w14:paraId="59822893" w14:textId="77777777" w:rsidR="00AD3351" w:rsidRPr="00AD3351" w:rsidRDefault="00AD3351" w:rsidP="00133C1C">
      <w:pPr>
        <w:pStyle w:val="ListNumber1Level2"/>
        <w:numPr>
          <w:ilvl w:val="1"/>
          <w:numId w:val="24"/>
        </w:numPr>
        <w:spacing w:after="120"/>
      </w:pPr>
      <w:r w:rsidRPr="00AD3351">
        <w:t>Application directly on human or animal skin.</w:t>
      </w:r>
    </w:p>
    <w:p w14:paraId="715B85F0" w14:textId="77777777" w:rsidR="00AD3351" w:rsidRPr="00AD3351" w:rsidRDefault="00AD3351" w:rsidP="00133C1C">
      <w:pPr>
        <w:pStyle w:val="ListNumber1Level2"/>
        <w:numPr>
          <w:ilvl w:val="1"/>
          <w:numId w:val="24"/>
        </w:numPr>
        <w:spacing w:after="120"/>
      </w:pPr>
      <w:r w:rsidRPr="00AD3351">
        <w:t xml:space="preserve">Hard surfaces such as for instance walls, floor, equipment, pipework, inner surfaces, soft surfaces such as for instance soft furnishing, textile disinfection, and other surfaces such as for </w:t>
      </w:r>
      <w:r w:rsidRPr="00AD3351">
        <w:lastRenderedPageBreak/>
        <w:t>instance hatching eggs, litter, surfaces associated with the housing and transportation of animals.</w:t>
      </w:r>
    </w:p>
    <w:p w14:paraId="5F2E2FA9" w14:textId="77777777" w:rsidR="00AD3351" w:rsidRPr="00AD3351" w:rsidRDefault="00AD3351" w:rsidP="00133C1C">
      <w:pPr>
        <w:pStyle w:val="ListNumber1Level2"/>
        <w:numPr>
          <w:ilvl w:val="1"/>
          <w:numId w:val="24"/>
        </w:numPr>
        <w:spacing w:after="120"/>
      </w:pPr>
      <w:r w:rsidRPr="00AD3351">
        <w:t>Construction materials and hard surfaces.</w:t>
      </w:r>
    </w:p>
    <w:p w14:paraId="09E760C2" w14:textId="77777777" w:rsidR="00AD3351" w:rsidRPr="00AD3351" w:rsidRDefault="00AD3351" w:rsidP="00133C1C">
      <w:pPr>
        <w:pStyle w:val="ListNumber1Level2"/>
        <w:numPr>
          <w:ilvl w:val="1"/>
          <w:numId w:val="24"/>
        </w:numPr>
        <w:spacing w:after="120"/>
      </w:pPr>
      <w:r w:rsidRPr="00AD3351">
        <w:t>Laundry and textiles.</w:t>
      </w:r>
    </w:p>
    <w:p w14:paraId="0C779758" w14:textId="77777777" w:rsidR="00AD3351" w:rsidRPr="00AD3351" w:rsidRDefault="00AD3351" w:rsidP="00133C1C">
      <w:pPr>
        <w:pStyle w:val="ListNumber1Level2"/>
        <w:numPr>
          <w:ilvl w:val="1"/>
          <w:numId w:val="24"/>
        </w:numPr>
        <w:spacing w:after="120"/>
      </w:pPr>
      <w:r w:rsidRPr="00AD3351">
        <w:t>Air and room disinfection (vaporised biocide).</w:t>
      </w:r>
    </w:p>
    <w:p w14:paraId="62F5CC87" w14:textId="77777777" w:rsidR="00AD3351" w:rsidRPr="00AD3351" w:rsidRDefault="00AD3351" w:rsidP="00133C1C">
      <w:pPr>
        <w:pStyle w:val="ListNumber1Level2"/>
        <w:numPr>
          <w:ilvl w:val="1"/>
          <w:numId w:val="24"/>
        </w:numPr>
        <w:spacing w:after="120"/>
      </w:pPr>
      <w:r w:rsidRPr="00AD3351">
        <w:t>Products incorporated in treated articles.</w:t>
      </w:r>
    </w:p>
    <w:p w14:paraId="0AB454C7" w14:textId="77777777" w:rsidR="00AD3351" w:rsidRPr="00AD3351" w:rsidRDefault="00AD3351" w:rsidP="00133C1C">
      <w:pPr>
        <w:pStyle w:val="ListNumber1Level2"/>
        <w:numPr>
          <w:ilvl w:val="1"/>
          <w:numId w:val="24"/>
        </w:numPr>
        <w:spacing w:after="120"/>
      </w:pPr>
      <w:r w:rsidRPr="00AD3351">
        <w:t>Water (or liquid) matrix (any kind of water)</w:t>
      </w:r>
    </w:p>
    <w:p w14:paraId="432501D4" w14:textId="77777777" w:rsidR="00AD3351" w:rsidRPr="00AD3351" w:rsidRDefault="00AD3351" w:rsidP="00133C1C">
      <w:pPr>
        <w:pStyle w:val="ListNumber1Level2"/>
        <w:numPr>
          <w:ilvl w:val="1"/>
          <w:numId w:val="24"/>
        </w:numPr>
        <w:spacing w:after="120"/>
      </w:pPr>
      <w:r w:rsidRPr="00AD3351">
        <w:t>Surfaces in contact with water (or other liquid) and water (or liquid) matrix (other than waste water). Air condition systems, washing machines and crate washers.</w:t>
      </w:r>
    </w:p>
    <w:p w14:paraId="7DC3E9F1" w14:textId="77777777" w:rsidR="00AD3351" w:rsidRPr="00AD3351" w:rsidRDefault="00AD3351" w:rsidP="00133C1C">
      <w:pPr>
        <w:pStyle w:val="ListNumber1Level2"/>
        <w:numPr>
          <w:ilvl w:val="1"/>
          <w:numId w:val="24"/>
        </w:numPr>
        <w:spacing w:after="120"/>
      </w:pPr>
      <w:r w:rsidRPr="00AD3351">
        <w:t>Chemical toilets</w:t>
      </w:r>
    </w:p>
    <w:p w14:paraId="5FF2D123" w14:textId="77777777" w:rsidR="00AD3351" w:rsidRPr="00AD3351" w:rsidRDefault="00AD3351" w:rsidP="00133C1C">
      <w:pPr>
        <w:pStyle w:val="ListNumber1Level2"/>
        <w:numPr>
          <w:ilvl w:val="1"/>
          <w:numId w:val="24"/>
        </w:numPr>
        <w:spacing w:after="120"/>
      </w:pPr>
      <w:r w:rsidRPr="00AD3351">
        <w:t>Hospital waste</w:t>
      </w:r>
    </w:p>
    <w:p w14:paraId="014E1F09" w14:textId="77777777" w:rsidR="00AD3351" w:rsidRPr="00AD3351" w:rsidRDefault="00AD3351" w:rsidP="00133C1C">
      <w:pPr>
        <w:pStyle w:val="ListNumber1Level2"/>
        <w:numPr>
          <w:ilvl w:val="1"/>
          <w:numId w:val="24"/>
        </w:numPr>
        <w:spacing w:after="120"/>
      </w:pPr>
      <w:r w:rsidRPr="00AD3351">
        <w:t>Soil</w:t>
      </w:r>
    </w:p>
    <w:p w14:paraId="2D093E4A" w14:textId="70D09F04" w:rsidR="00392A26" w:rsidRPr="00392A26" w:rsidRDefault="00392A26" w:rsidP="00392A26">
      <w:pPr>
        <w:pStyle w:val="ListNumber"/>
      </w:pPr>
      <w:r w:rsidRPr="00392A26">
        <w:t xml:space="preserve">Same type of "use pattern" </w:t>
      </w:r>
      <w:r w:rsidRPr="00392A26">
        <w:rPr>
          <w:b/>
          <w:u w:val="single"/>
        </w:rPr>
        <w:t>for different PTs</w:t>
      </w:r>
      <w:r w:rsidRPr="00392A26">
        <w:t xml:space="preserve"> for main groups 1 and 2 has been considered when both uses of the biocidal products fall in one of the following categories</w:t>
      </w:r>
      <w:r w:rsidR="009C0741">
        <w:t xml:space="preserve"> (see reference</w:t>
      </w:r>
      <w:r w:rsidR="004056B3">
        <w:t>s</w:t>
      </w:r>
      <w:r w:rsidR="009C0741">
        <w:t xml:space="preserve"> (2) in the </w:t>
      </w:r>
      <w:r w:rsidR="004056B3">
        <w:t>column ‘</w:t>
      </w:r>
      <w:r w:rsidR="009C0741">
        <w:t>Use object, pattern category</w:t>
      </w:r>
      <w:r w:rsidR="004056B3">
        <w:t>’</w:t>
      </w:r>
      <w:r w:rsidR="009C0741">
        <w:t xml:space="preserve"> of Table 2 </w:t>
      </w:r>
      <w:r w:rsidR="0018360C">
        <w:t>in</w:t>
      </w:r>
      <w:r w:rsidR="009C0741">
        <w:t xml:space="preserve"> Annex IV)</w:t>
      </w:r>
      <w:r w:rsidRPr="00392A26">
        <w:t>:</w:t>
      </w:r>
    </w:p>
    <w:p w14:paraId="56A76231" w14:textId="77777777" w:rsidR="00AD3351" w:rsidRPr="00AD3351" w:rsidRDefault="00AD3351" w:rsidP="00133C1C">
      <w:pPr>
        <w:pStyle w:val="ListNumber1Level2"/>
        <w:numPr>
          <w:ilvl w:val="1"/>
          <w:numId w:val="25"/>
        </w:numPr>
        <w:spacing w:after="120"/>
      </w:pPr>
      <w:r w:rsidRPr="00AD3351">
        <w:t>Application directly on human or animal skin.</w:t>
      </w:r>
    </w:p>
    <w:p w14:paraId="6E6ED7D0" w14:textId="77777777" w:rsidR="00AD3351" w:rsidRPr="00AD3351" w:rsidRDefault="00AD3351" w:rsidP="00133C1C">
      <w:pPr>
        <w:pStyle w:val="ListNumber1Level2"/>
        <w:numPr>
          <w:ilvl w:val="1"/>
          <w:numId w:val="24"/>
        </w:numPr>
        <w:spacing w:after="120"/>
      </w:pPr>
      <w:r w:rsidRPr="00AD3351">
        <w:t>Application in pipework / inner surfaces (CIP)/ surface in contact with water (or other liquid)</w:t>
      </w:r>
    </w:p>
    <w:p w14:paraId="2D5A3F33" w14:textId="77777777" w:rsidR="00AD3351" w:rsidRPr="00AD3351" w:rsidRDefault="00AD3351" w:rsidP="00133C1C">
      <w:pPr>
        <w:pStyle w:val="ListNumber1Level2"/>
        <w:numPr>
          <w:ilvl w:val="1"/>
          <w:numId w:val="24"/>
        </w:numPr>
        <w:spacing w:after="120"/>
      </w:pPr>
      <w:r w:rsidRPr="00AD3351">
        <w:t>Application on hard or soft surfaces/ instruments/ equipment (other than hatching eggs, surfaces associated with the housing and transportation of animals and application via room disinfection)</w:t>
      </w:r>
    </w:p>
    <w:p w14:paraId="7A374C15" w14:textId="77777777" w:rsidR="00AD3351" w:rsidRPr="00AD3351" w:rsidRDefault="00AD3351" w:rsidP="00133C1C">
      <w:pPr>
        <w:pStyle w:val="ListNumber1Level2"/>
        <w:numPr>
          <w:ilvl w:val="1"/>
          <w:numId w:val="24"/>
        </w:numPr>
        <w:spacing w:after="120"/>
      </w:pPr>
      <w:r w:rsidRPr="00AD3351">
        <w:t>Application on laundry and textiles</w:t>
      </w:r>
    </w:p>
    <w:p w14:paraId="366EC98D" w14:textId="77777777" w:rsidR="00AD3351" w:rsidRPr="00AD3351" w:rsidRDefault="00AD3351" w:rsidP="00133C1C">
      <w:pPr>
        <w:pStyle w:val="ListNumber1Level2"/>
        <w:numPr>
          <w:ilvl w:val="1"/>
          <w:numId w:val="24"/>
        </w:numPr>
        <w:spacing w:after="120"/>
      </w:pPr>
      <w:r w:rsidRPr="00AD3351">
        <w:t>Air disinfection and application for room disinfection  (vaporised biocide)</w:t>
      </w:r>
    </w:p>
    <w:p w14:paraId="5336ECE1" w14:textId="77777777" w:rsidR="00AD3351" w:rsidRPr="00AD3351" w:rsidRDefault="00AD3351" w:rsidP="00133C1C">
      <w:pPr>
        <w:pStyle w:val="ListNumber1Level2"/>
        <w:numPr>
          <w:ilvl w:val="1"/>
          <w:numId w:val="24"/>
        </w:numPr>
        <w:spacing w:after="120"/>
      </w:pPr>
      <w:r w:rsidRPr="00AD3351">
        <w:t>Products incorporated in treated articles</w:t>
      </w:r>
    </w:p>
    <w:p w14:paraId="7D2A5897" w14:textId="77777777" w:rsidR="00AD3351" w:rsidRPr="00AD3351" w:rsidRDefault="00AD3351" w:rsidP="00133C1C">
      <w:pPr>
        <w:pStyle w:val="ListNumber1Level2"/>
        <w:numPr>
          <w:ilvl w:val="1"/>
          <w:numId w:val="24"/>
        </w:numPr>
        <w:spacing w:after="120"/>
      </w:pPr>
      <w:r w:rsidRPr="00AD3351">
        <w:t>Application on a water matrix (other than waste water, manure)</w:t>
      </w:r>
    </w:p>
    <w:p w14:paraId="5C95856D" w14:textId="77777777" w:rsidR="00AD3351" w:rsidRPr="00AD3351" w:rsidRDefault="00AD3351" w:rsidP="00133C1C">
      <w:pPr>
        <w:pStyle w:val="ListNumber1Level2"/>
        <w:numPr>
          <w:ilvl w:val="1"/>
          <w:numId w:val="24"/>
        </w:numPr>
      </w:pPr>
      <w:r w:rsidRPr="00AD3351">
        <w:t>Application on waste water and manure</w:t>
      </w:r>
    </w:p>
    <w:p w14:paraId="6F2C8814" w14:textId="75A81251" w:rsidR="00AD3351" w:rsidRPr="00AD3351" w:rsidRDefault="00AD3351" w:rsidP="00392A26">
      <w:pPr>
        <w:pStyle w:val="ListNumber"/>
      </w:pPr>
      <w:r w:rsidRPr="00AD3351">
        <w:t xml:space="preserve">Based on expert judgement and </w:t>
      </w:r>
      <w:r w:rsidR="006E2891">
        <w:t xml:space="preserve">as </w:t>
      </w:r>
      <w:r w:rsidRPr="00AD3351">
        <w:t xml:space="preserve">agreed by the </w:t>
      </w:r>
      <w:r w:rsidR="006E2891">
        <w:t xml:space="preserve">WP </w:t>
      </w:r>
      <w:r w:rsidRPr="00AD3351">
        <w:t xml:space="preserve">experts on the BPF concept, the following uses falling outside the criteria outlined in the decision tree </w:t>
      </w:r>
      <w:r w:rsidR="006E2891">
        <w:t xml:space="preserve">of figure 2 </w:t>
      </w:r>
      <w:r w:rsidRPr="00AD3351">
        <w:t>could also be considered as similar on a case by case basis</w:t>
      </w:r>
      <w:r w:rsidR="009C0741">
        <w:t xml:space="preserve"> (see reference</w:t>
      </w:r>
      <w:r w:rsidR="004056B3">
        <w:t>s</w:t>
      </w:r>
      <w:r w:rsidR="009C0741">
        <w:t xml:space="preserve"> (3) in the </w:t>
      </w:r>
      <w:r w:rsidR="004056B3">
        <w:t>column ‘</w:t>
      </w:r>
      <w:r w:rsidR="009C0741">
        <w:t>Use object, pattern category</w:t>
      </w:r>
      <w:r w:rsidR="004056B3">
        <w:t>’</w:t>
      </w:r>
      <w:r w:rsidR="009C0741">
        <w:t xml:space="preserve"> of Table 2 </w:t>
      </w:r>
      <w:r w:rsidR="0018360C">
        <w:t>in</w:t>
      </w:r>
      <w:r w:rsidR="009C0741">
        <w:t xml:space="preserve"> Annex IV)</w:t>
      </w:r>
      <w:r w:rsidRPr="00AD3351">
        <w:t>:</w:t>
      </w:r>
    </w:p>
    <w:p w14:paraId="1A6D4D2C" w14:textId="77777777" w:rsidR="00AD3351" w:rsidRPr="00AD3351" w:rsidRDefault="00AD3351" w:rsidP="00133C1C">
      <w:pPr>
        <w:pStyle w:val="ListNumber1Level2"/>
        <w:numPr>
          <w:ilvl w:val="1"/>
          <w:numId w:val="26"/>
        </w:numPr>
      </w:pPr>
      <w:r w:rsidRPr="00AD3351">
        <w:t>PT1 (Human hygiene) and the following uses:</w:t>
      </w:r>
    </w:p>
    <w:p w14:paraId="6E3645A8" w14:textId="77777777" w:rsidR="00AD3351" w:rsidRPr="00AD3351" w:rsidRDefault="00AD3351" w:rsidP="00B03D1F">
      <w:pPr>
        <w:pStyle w:val="ListNumberLevel3"/>
      </w:pPr>
      <w:r w:rsidRPr="00AD3351">
        <w:t xml:space="preserve">PT2 and PT4: Disinfection of hard surfaces instrument and equipment. </w:t>
      </w:r>
    </w:p>
    <w:p w14:paraId="331B3279" w14:textId="77777777" w:rsidR="00AD3351" w:rsidRPr="00AD3351" w:rsidRDefault="00AD3351" w:rsidP="0013462E">
      <w:pPr>
        <w:pStyle w:val="ListNumberLevel3"/>
        <w:spacing w:after="120"/>
      </w:pPr>
      <w:r w:rsidRPr="00AD3351">
        <w:t>PT2: Products to be incorporated in textiles, tissues and materials with the purpose of producing treated articles with disinfecting properties.</w:t>
      </w:r>
    </w:p>
    <w:p w14:paraId="356C09EC" w14:textId="77777777" w:rsidR="00AD3351" w:rsidRPr="00AD3351" w:rsidRDefault="00AD3351" w:rsidP="0013462E">
      <w:pPr>
        <w:pStyle w:val="ListNumber1Level2"/>
      </w:pPr>
      <w:r w:rsidRPr="00AD3351">
        <w:lastRenderedPageBreak/>
        <w:t>PT5 (Drinking water) and the following uses:</w:t>
      </w:r>
    </w:p>
    <w:p w14:paraId="0CC584E5" w14:textId="77777777" w:rsidR="00AD3351" w:rsidRPr="00AD3351" w:rsidRDefault="00AD3351" w:rsidP="009D0712">
      <w:pPr>
        <w:pStyle w:val="ListNumberLevel3"/>
        <w:numPr>
          <w:ilvl w:val="2"/>
          <w:numId w:val="39"/>
        </w:numPr>
        <w:spacing w:after="120"/>
      </w:pPr>
      <w:r w:rsidRPr="00AD3351">
        <w:t xml:space="preserve">PT4 </w:t>
      </w:r>
      <w:r w:rsidR="003B27A2">
        <w:t>p</w:t>
      </w:r>
      <w:r w:rsidRPr="00AD3351">
        <w:t>roducts used to be incorporated into materials which may enter into contact with food.</w:t>
      </w:r>
    </w:p>
    <w:p w14:paraId="1087F6B9" w14:textId="77777777" w:rsidR="00AD3351" w:rsidRPr="00AD3351" w:rsidRDefault="00AD3351" w:rsidP="0013462E">
      <w:pPr>
        <w:pStyle w:val="ListNumberLevel3"/>
        <w:spacing w:after="120"/>
      </w:pPr>
      <w:r w:rsidRPr="00AD3351">
        <w:t>PT4 Disinfectants for hard surfaces/ instrument/ equipment disinfection.</w:t>
      </w:r>
    </w:p>
    <w:p w14:paraId="4B10CD28" w14:textId="77777777" w:rsidR="00AD3351" w:rsidRDefault="00AD3351" w:rsidP="009A5C00">
      <w:pPr>
        <w:pStyle w:val="ListNumber1Level2"/>
        <w:spacing w:after="120"/>
      </w:pPr>
      <w:r w:rsidRPr="00AD3351">
        <w:t>PT2 disinfectants for pipework/inner surfaces (CIP)/ Surface in contact with water and PT3</w:t>
      </w:r>
      <w:r w:rsidR="003B27A2">
        <w:t xml:space="preserve"> </w:t>
      </w:r>
      <w:r w:rsidRPr="00AD3351">
        <w:t>products used for disinfection of the materials and surfaces in contact with water associated with the housing or transportation of animals (e.g. in aquaculture).</w:t>
      </w:r>
    </w:p>
    <w:p w14:paraId="064B89AC" w14:textId="77777777" w:rsidR="00AD3351" w:rsidRPr="00AD3351" w:rsidRDefault="00AD3351" w:rsidP="009A5C00">
      <w:pPr>
        <w:pStyle w:val="ListNumber1Level2"/>
        <w:spacing w:after="120"/>
      </w:pPr>
      <w:r w:rsidRPr="00AD3351">
        <w:t>PT3 products for instrument/equipment disinfection and PT3 products to be directly applied on animal skin.</w:t>
      </w:r>
    </w:p>
    <w:p w14:paraId="1AED3FB6" w14:textId="77777777" w:rsidR="00AD3351" w:rsidRPr="00AD3351" w:rsidRDefault="00AD3351" w:rsidP="009A5C00">
      <w:pPr>
        <w:pStyle w:val="ListNumber1Level2"/>
        <w:spacing w:after="120"/>
      </w:pPr>
      <w:r w:rsidRPr="00AD3351">
        <w:t>PT22 and PT1 and PT3 products used on human or animal skin</w:t>
      </w:r>
    </w:p>
    <w:p w14:paraId="1AB1F3C0" w14:textId="77777777" w:rsidR="00AD3351" w:rsidRPr="00AD3351" w:rsidRDefault="00AD3351" w:rsidP="009A5C00">
      <w:pPr>
        <w:pStyle w:val="ListNumber1Level2"/>
        <w:spacing w:after="120"/>
      </w:pPr>
      <w:r w:rsidRPr="00AD3351">
        <w:t xml:space="preserve">Insecticides used for PT8 and PT18  </w:t>
      </w:r>
    </w:p>
    <w:p w14:paraId="37E0BCEE" w14:textId="77777777" w:rsidR="00AD3351" w:rsidRPr="00AD3351" w:rsidRDefault="006E2891" w:rsidP="009A5C00">
      <w:pPr>
        <w:pStyle w:val="ListNumber1Level2"/>
        <w:spacing w:after="120"/>
      </w:pPr>
      <w:r>
        <w:t>PT</w:t>
      </w:r>
      <w:r w:rsidR="00AD3351" w:rsidRPr="00AD3351">
        <w:t xml:space="preserve">3 Surfaces associated with the housing and transportation of animals, PT3 soft surfaces, PT3 </w:t>
      </w:r>
      <w:r w:rsidR="00AD3351" w:rsidRPr="00AD3351">
        <w:rPr>
          <w:bCs/>
        </w:rPr>
        <w:t>Hard surfaces/ instrument/ Equipment disinfection</w:t>
      </w:r>
      <w:r w:rsidR="00AD3351" w:rsidRPr="00AD3351">
        <w:t xml:space="preserve"> and PT4 disinfectants for pipework/inner surfaces (CIP).</w:t>
      </w:r>
    </w:p>
    <w:p w14:paraId="43BCC86F" w14:textId="0E36165D" w:rsidR="00AD3351" w:rsidRDefault="00AD3351" w:rsidP="009A5C00">
      <w:pPr>
        <w:pStyle w:val="ListNumber1Level2"/>
      </w:pPr>
      <w:r w:rsidRPr="00AD3351">
        <w:t>Other use patterns that might be agreed by the CG.</w:t>
      </w:r>
    </w:p>
    <w:p w14:paraId="61CE8D17" w14:textId="77777777" w:rsidR="00B03D1F" w:rsidRPr="00B03D1F" w:rsidRDefault="00B03D1F" w:rsidP="00B03D1F">
      <w:pPr>
        <w:pStyle w:val="ListNumber1Level2"/>
      </w:pPr>
      <w:r w:rsidRPr="00B03D1F">
        <w:t>PT2 disinfectants for pipework/inner surfaces (CIP)/ Surface in contact with water and PT2 disinfectants on a water matrix (e.g. industrial water) with the aim to disinfect both water and the industrial pipeline.</w:t>
      </w:r>
    </w:p>
    <w:p w14:paraId="3C621939" w14:textId="41D2B643" w:rsidR="00AD3351" w:rsidRDefault="00AD3351" w:rsidP="00AD3351">
      <w:pPr>
        <w:pStyle w:val="ListNumber"/>
      </w:pPr>
      <w:r w:rsidRPr="00AD3351">
        <w:t>In this context, same type of application is understood as when products corresponding to both uses are being used either as bait or used for direct kill. However, in the case of PT18 products</w:t>
      </w:r>
      <w:r w:rsidR="00E234BB">
        <w:t xml:space="preserve"> covered by the main </w:t>
      </w:r>
      <w:r w:rsidR="00B03D1F">
        <w:t>group</w:t>
      </w:r>
      <w:r w:rsidR="00E234BB">
        <w:t xml:space="preserve"> 3 in figure 3 above</w:t>
      </w:r>
      <w:r w:rsidRPr="00AD3351">
        <w:t xml:space="preserve">, on a </w:t>
      </w:r>
      <w:r w:rsidR="0013462E" w:rsidRPr="00AD3351">
        <w:t>case-by-case</w:t>
      </w:r>
      <w:r w:rsidRPr="00AD3351">
        <w:t xml:space="preserve"> basis it could be possible to consider as similar uses for direct kill and as a bait. This is for example the case of products in the form of sugar granules that can be diluted in water</w:t>
      </w:r>
      <w:r w:rsidR="005908F4">
        <w:t>.</w:t>
      </w:r>
    </w:p>
    <w:p w14:paraId="1A6E83D0" w14:textId="77777777" w:rsidR="006F654A" w:rsidRPr="005A1213" w:rsidRDefault="00166D74" w:rsidP="005A1213">
      <w:pPr>
        <w:pStyle w:val="ListNumber"/>
        <w:spacing w:after="120"/>
      </w:pPr>
      <w:r>
        <w:t>Annex V describes e</w:t>
      </w:r>
      <w:r w:rsidR="005A1213">
        <w:t xml:space="preserve">xceptions </w:t>
      </w:r>
      <w:r>
        <w:t xml:space="preserve">that allows certain </w:t>
      </w:r>
      <w:r w:rsidR="00917548">
        <w:t>flexibility</w:t>
      </w:r>
      <w:r>
        <w:t xml:space="preserve"> </w:t>
      </w:r>
      <w:r w:rsidR="005A1213" w:rsidRPr="005A1213">
        <w:rPr>
          <w:lang w:val="en-IE"/>
        </w:rPr>
        <w:t xml:space="preserve">when assessing similarity of uses </w:t>
      </w:r>
      <w:r>
        <w:rPr>
          <w:lang w:val="en-IE"/>
        </w:rPr>
        <w:t xml:space="preserve">that could be accepted </w:t>
      </w:r>
      <w:r w:rsidR="005A1213" w:rsidRPr="005A1213">
        <w:rPr>
          <w:lang w:val="en-IE"/>
        </w:rPr>
        <w:t xml:space="preserve">to reduce the number of applications to be prepared and evaluated by applicants and MSs.  </w:t>
      </w:r>
    </w:p>
    <w:p w14:paraId="1CC38FD1" w14:textId="77777777" w:rsidR="000544F4" w:rsidRDefault="000544F4" w:rsidP="005A1213">
      <w:pPr>
        <w:pStyle w:val="Heading3"/>
        <w:spacing w:before="240"/>
        <w:rPr>
          <w:b/>
          <w:u w:val="single"/>
        </w:rPr>
      </w:pPr>
      <w:r w:rsidRPr="000973EA">
        <w:rPr>
          <w:b/>
          <w:u w:val="single"/>
        </w:rPr>
        <w:t>Similar levels of risk and efficacy</w:t>
      </w:r>
    </w:p>
    <w:p w14:paraId="157102D2" w14:textId="77777777" w:rsidR="009E4699" w:rsidRPr="009E4699" w:rsidRDefault="009E4699" w:rsidP="009E4699">
      <w:pPr>
        <w:pStyle w:val="HistTableHeading"/>
      </w:pPr>
      <w:r w:rsidRPr="009E4699">
        <w:t>Definition of the core</w:t>
      </w:r>
    </w:p>
    <w:p w14:paraId="2B85E71D" w14:textId="0F3580DE" w:rsidR="009E4699" w:rsidRPr="009E4699" w:rsidRDefault="009E4699" w:rsidP="009E4699">
      <w:pPr>
        <w:pStyle w:val="ListNumber"/>
      </w:pPr>
      <w:r w:rsidRPr="009E4699">
        <w:t>In order to ensure a manageable size</w:t>
      </w:r>
      <w:r>
        <w:t>,</w:t>
      </w:r>
      <w:r w:rsidRPr="009E4699">
        <w:t xml:space="preserve"> the BPF must be defined by one core assessment. The core should include a significant</w:t>
      </w:r>
      <w:bookmarkStart w:id="0" w:name="_Ref534367555"/>
      <w:r w:rsidRPr="009E4699">
        <w:rPr>
          <w:vertAlign w:val="superscript"/>
        </w:rPr>
        <w:footnoteReference w:id="8"/>
      </w:r>
      <w:bookmarkEnd w:id="0"/>
      <w:r w:rsidRPr="009E4699">
        <w:t xml:space="preserve"> proportion of the BPF.</w:t>
      </w:r>
    </w:p>
    <w:p w14:paraId="4B001F8C" w14:textId="77777777" w:rsidR="009E4699" w:rsidRPr="009E4699" w:rsidRDefault="009E4699" w:rsidP="009E4699">
      <w:pPr>
        <w:pStyle w:val="ListNumber"/>
      </w:pPr>
      <w:r w:rsidRPr="009E4699">
        <w:t xml:space="preserve">Furthermore, applications which are in a large part redundant should be avoided because they cause unnecessary additional cost both to applicants and </w:t>
      </w:r>
      <w:r w:rsidRPr="009E4699">
        <w:lastRenderedPageBreak/>
        <w:t xml:space="preserve">eCAs. Therefore MS </w:t>
      </w:r>
      <w:r w:rsidRPr="00E26432">
        <w:rPr>
          <w:b/>
          <w:u w:val="single"/>
        </w:rPr>
        <w:t>can</w:t>
      </w:r>
      <w:r w:rsidRPr="00036186">
        <w:t xml:space="preserve"> </w:t>
      </w:r>
      <w:r w:rsidRPr="009E4699">
        <w:t>accept that a core includes more than one meta-SPC</w:t>
      </w:r>
      <w:r w:rsidRPr="009E4699">
        <w:rPr>
          <w:vertAlign w:val="superscript"/>
        </w:rPr>
        <w:footnoteReference w:id="9"/>
      </w:r>
      <w:r w:rsidRPr="009E4699">
        <w:t xml:space="preserve"> if the products </w:t>
      </w:r>
      <w:r w:rsidRPr="009E4699">
        <w:rPr>
          <w:b/>
          <w:u w:val="single"/>
        </w:rPr>
        <w:t>cannot</w:t>
      </w:r>
      <w:r w:rsidRPr="009E4699">
        <w:t xml:space="preserve"> be presented in one meta-SPC. This can in particular be appropriate in order to:</w:t>
      </w:r>
    </w:p>
    <w:p w14:paraId="5EC719CB" w14:textId="77777777" w:rsidR="009E4699" w:rsidRPr="009E4699" w:rsidRDefault="009E4699" w:rsidP="00133C1C">
      <w:pPr>
        <w:pStyle w:val="ListNumber1Level2"/>
        <w:numPr>
          <w:ilvl w:val="1"/>
          <w:numId w:val="28"/>
        </w:numPr>
      </w:pPr>
      <w:r w:rsidRPr="009E4699">
        <w:t>Include BPs into one BPF that can be covered by one core assessment but due to different H&amp;P phrases or formulations types</w:t>
      </w:r>
      <w:r w:rsidRPr="009E4699">
        <w:rPr>
          <w:vertAlign w:val="superscript"/>
        </w:rPr>
        <w:footnoteReference w:id="10"/>
      </w:r>
      <w:r w:rsidRPr="009E4699">
        <w:t xml:space="preserve"> need to be separated into different meta-SPCs (see Example 1.1 in Annex </w:t>
      </w:r>
      <w:r>
        <w:t>VI</w:t>
      </w:r>
      <w:r w:rsidRPr="009E4699">
        <w:t>);</w:t>
      </w:r>
    </w:p>
    <w:p w14:paraId="17357C15" w14:textId="0372AF02" w:rsidR="009E4699" w:rsidRPr="009E4699" w:rsidRDefault="009E4699" w:rsidP="00133C1C">
      <w:pPr>
        <w:pStyle w:val="ListNumber1Level2"/>
        <w:numPr>
          <w:ilvl w:val="1"/>
          <w:numId w:val="28"/>
        </w:numPr>
      </w:pPr>
      <w:r w:rsidRPr="009E4699">
        <w:t xml:space="preserve">Include concentrates and corresponding </w:t>
      </w:r>
      <w:r w:rsidR="008B213D">
        <w:t>ready-to-use (</w:t>
      </w:r>
      <w:r w:rsidRPr="009E4699">
        <w:t>RTU</w:t>
      </w:r>
      <w:r w:rsidR="008B213D">
        <w:t>)</w:t>
      </w:r>
      <w:r w:rsidRPr="009E4699">
        <w:t xml:space="preserve"> products into one BPF (see Example 1.2 in Annex </w:t>
      </w:r>
      <w:r w:rsidR="00605552">
        <w:t>VI)</w:t>
      </w:r>
      <w:r w:rsidRPr="009E4699">
        <w:t>.</w:t>
      </w:r>
      <w:r w:rsidRPr="009E4699">
        <w:rPr>
          <w:vertAlign w:val="superscript"/>
        </w:rPr>
        <w:footnoteReference w:id="11"/>
      </w:r>
    </w:p>
    <w:p w14:paraId="79E5E45A" w14:textId="77777777" w:rsidR="009E4699" w:rsidRPr="009E4699" w:rsidRDefault="009E4699" w:rsidP="008E10FE">
      <w:pPr>
        <w:pStyle w:val="ListNumber"/>
        <w:numPr>
          <w:ilvl w:val="0"/>
          <w:numId w:val="0"/>
        </w:numPr>
        <w:ind w:left="992"/>
        <w:rPr>
          <w:b/>
        </w:rPr>
      </w:pPr>
      <w:r w:rsidRPr="009E4699">
        <w:rPr>
          <w:b/>
          <w:noProof/>
          <w:lang w:val="fr-BE" w:eastAsia="fr-BE"/>
        </w:rPr>
        <w:drawing>
          <wp:inline distT="0" distB="0" distL="0" distR="0" wp14:anchorId="5E1CF777" wp14:editId="184E886B">
            <wp:extent cx="3042000" cy="2937600"/>
            <wp:effectExtent l="0" t="0" r="6350" b="0"/>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e 1.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42000" cy="2937600"/>
                    </a:xfrm>
                    <a:prstGeom prst="rect">
                      <a:avLst/>
                    </a:prstGeom>
                  </pic:spPr>
                </pic:pic>
              </a:graphicData>
            </a:graphic>
          </wp:inline>
        </w:drawing>
      </w:r>
    </w:p>
    <w:p w14:paraId="03764FC7" w14:textId="77777777" w:rsidR="009E4699" w:rsidRPr="009E4699" w:rsidRDefault="00A20237" w:rsidP="008E10FE">
      <w:pPr>
        <w:pStyle w:val="ListNumber"/>
        <w:numPr>
          <w:ilvl w:val="0"/>
          <w:numId w:val="0"/>
        </w:numPr>
        <w:ind w:left="992"/>
      </w:pPr>
      <w:r>
        <w:rPr>
          <w:b/>
        </w:rPr>
        <w:t>Figure 3</w:t>
      </w:r>
      <w:r w:rsidR="009E4699" w:rsidRPr="009E4699">
        <w:rPr>
          <w:b/>
        </w:rPr>
        <w:t xml:space="preserve">: </w:t>
      </w:r>
      <w:r w:rsidR="009E4699" w:rsidRPr="009E4699">
        <w:t>Example of core consisting of 4 meta-SPCs.</w:t>
      </w:r>
    </w:p>
    <w:p w14:paraId="6CDF3B2A" w14:textId="77777777" w:rsidR="009E4699" w:rsidRPr="00855919" w:rsidRDefault="000D7F52" w:rsidP="008E10FE">
      <w:pPr>
        <w:pStyle w:val="ListNumber"/>
        <w:numPr>
          <w:ilvl w:val="0"/>
          <w:numId w:val="0"/>
        </w:numPr>
        <w:ind w:left="992"/>
        <w:rPr>
          <w:b/>
          <w:u w:val="single"/>
        </w:rPr>
      </w:pPr>
      <w:r w:rsidRPr="00855919">
        <w:rPr>
          <w:b/>
          <w:u w:val="single"/>
        </w:rPr>
        <w:t xml:space="preserve">Section 1: </w:t>
      </w:r>
      <w:r w:rsidR="009E4699" w:rsidRPr="00855919">
        <w:rPr>
          <w:b/>
          <w:u w:val="single"/>
        </w:rPr>
        <w:t>Composition to be taken into account for the core assessment</w:t>
      </w:r>
    </w:p>
    <w:p w14:paraId="4AEDAB19" w14:textId="77777777" w:rsidR="009E4699" w:rsidRPr="009E4699" w:rsidRDefault="009E4699" w:rsidP="009E4699">
      <w:pPr>
        <w:pStyle w:val="ListNumber"/>
      </w:pPr>
      <w:r w:rsidRPr="009E4699">
        <w:t xml:space="preserve">The assessment is based on one </w:t>
      </w:r>
      <w:r w:rsidR="008E10FE" w:rsidRPr="009E4699">
        <w:t>worst-case</w:t>
      </w:r>
      <w:r w:rsidRPr="009E4699">
        <w:t xml:space="preserve"> composition. This </w:t>
      </w:r>
      <w:r w:rsidR="008E10FE" w:rsidRPr="009E4699">
        <w:t>worst-case</w:t>
      </w:r>
      <w:r w:rsidRPr="009E4699">
        <w:t xml:space="preserve"> composition might be different from area to area.</w:t>
      </w:r>
      <w:bookmarkStart w:id="1" w:name="_Ref527990028"/>
      <w:r w:rsidRPr="009E4699">
        <w:rPr>
          <w:vertAlign w:val="superscript"/>
        </w:rPr>
        <w:footnoteReference w:id="12"/>
      </w:r>
      <w:bookmarkEnd w:id="1"/>
      <w:r w:rsidRPr="009E4699">
        <w:t xml:space="preserve"> In order to fulfil the provisions of Article 19</w:t>
      </w:r>
      <w:r w:rsidR="00BF08C6">
        <w:t>(</w:t>
      </w:r>
      <w:r w:rsidRPr="009E4699">
        <w:t>6</w:t>
      </w:r>
      <w:r w:rsidR="00BF08C6">
        <w:t>)</w:t>
      </w:r>
      <w:r w:rsidRPr="009E4699">
        <w:t>(a)</w:t>
      </w:r>
      <w:r w:rsidR="00BF08C6">
        <w:t xml:space="preserve"> of the </w:t>
      </w:r>
      <w:r w:rsidRPr="009E4699">
        <w:t xml:space="preserve">BPR the applicant must identify the </w:t>
      </w:r>
      <w:r w:rsidRPr="001E34E4">
        <w:rPr>
          <w:u w:val="single"/>
        </w:rPr>
        <w:t>worst and best case composition of the core to be assessed</w:t>
      </w:r>
      <w:r w:rsidRPr="009E4699">
        <w:t>.</w:t>
      </w:r>
    </w:p>
    <w:p w14:paraId="1AC9CD34" w14:textId="77777777" w:rsidR="009E4699" w:rsidRPr="009E4699" w:rsidRDefault="009E4699" w:rsidP="009E4699">
      <w:pPr>
        <w:pStyle w:val="ListNumber"/>
      </w:pPr>
      <w:r w:rsidRPr="009E4699">
        <w:t xml:space="preserve">The </w:t>
      </w:r>
      <w:r w:rsidR="008E10FE" w:rsidRPr="009E4699">
        <w:t>worst-case</w:t>
      </w:r>
      <w:r w:rsidRPr="009E4699">
        <w:t xml:space="preserve"> composition to be taken into account should include a significant proportion of the level 1 family range.</w:t>
      </w:r>
      <w:r w:rsidR="008E10FE" w:rsidRPr="009E4699">
        <w:t xml:space="preserve"> </w:t>
      </w:r>
    </w:p>
    <w:p w14:paraId="4AD205AD" w14:textId="77777777" w:rsidR="009E4699" w:rsidRPr="009E4699" w:rsidRDefault="009E4699" w:rsidP="009E4699">
      <w:pPr>
        <w:pStyle w:val="ListNumber"/>
      </w:pPr>
      <w:r w:rsidRPr="009E4699">
        <w:t xml:space="preserve">Please, consider Annex </w:t>
      </w:r>
      <w:r w:rsidR="008E10FE">
        <w:t>VI</w:t>
      </w:r>
      <w:r w:rsidRPr="009E4699">
        <w:t xml:space="preserve"> for some examples.</w:t>
      </w:r>
    </w:p>
    <w:p w14:paraId="7630AA1E" w14:textId="77777777" w:rsidR="009E4699" w:rsidRPr="001815D1" w:rsidRDefault="000D7F52" w:rsidP="008E10FE">
      <w:pPr>
        <w:pStyle w:val="ListNumber"/>
        <w:numPr>
          <w:ilvl w:val="0"/>
          <w:numId w:val="0"/>
        </w:numPr>
        <w:ind w:left="992"/>
        <w:rPr>
          <w:b/>
          <w:u w:val="single"/>
        </w:rPr>
      </w:pPr>
      <w:r w:rsidRPr="001815D1">
        <w:rPr>
          <w:b/>
          <w:u w:val="single"/>
        </w:rPr>
        <w:lastRenderedPageBreak/>
        <w:t xml:space="preserve">Section 2: </w:t>
      </w:r>
      <w:r w:rsidR="009E4699" w:rsidRPr="001815D1">
        <w:rPr>
          <w:b/>
          <w:u w:val="single"/>
        </w:rPr>
        <w:t>Worst case composition to be taken into account for risk core assessment</w:t>
      </w:r>
    </w:p>
    <w:p w14:paraId="43FB2CCC" w14:textId="77777777" w:rsidR="009E4699" w:rsidRPr="009E4699" w:rsidRDefault="009E4699" w:rsidP="009E4699">
      <w:pPr>
        <w:pStyle w:val="ListNumber"/>
      </w:pPr>
      <w:r w:rsidRPr="009E4699">
        <w:t>The worst case composition to be taken into account is generally defined by e.g.:</w:t>
      </w:r>
    </w:p>
    <w:p w14:paraId="15F2572B" w14:textId="77777777" w:rsidR="009E4699" w:rsidRPr="009E4699" w:rsidRDefault="009E4699" w:rsidP="00133C1C">
      <w:pPr>
        <w:pStyle w:val="ListNumber1Level2"/>
        <w:numPr>
          <w:ilvl w:val="1"/>
          <w:numId w:val="31"/>
        </w:numPr>
        <w:spacing w:after="120"/>
      </w:pPr>
      <w:r w:rsidRPr="009E4699">
        <w:t>Highest (in use)</w:t>
      </w:r>
      <w:r w:rsidRPr="009E4699">
        <w:rPr>
          <w:vertAlign w:val="superscript"/>
        </w:rPr>
        <w:footnoteReference w:id="13"/>
      </w:r>
      <w:r w:rsidRPr="009E4699">
        <w:t xml:space="preserve"> concentration of active substance</w:t>
      </w:r>
    </w:p>
    <w:p w14:paraId="0D06C3EC" w14:textId="129D7D99" w:rsidR="009E4699" w:rsidRPr="009E4699" w:rsidRDefault="009E4699" w:rsidP="00133C1C">
      <w:pPr>
        <w:pStyle w:val="ListNumber1Level2"/>
        <w:numPr>
          <w:ilvl w:val="1"/>
          <w:numId w:val="31"/>
        </w:numPr>
        <w:spacing w:after="120"/>
      </w:pPr>
      <w:r w:rsidRPr="009E4699">
        <w:t xml:space="preserve">Highest (in use) concentration of co-formulants negatively </w:t>
      </w:r>
      <w:r w:rsidR="006823B6">
        <w:t>a</w:t>
      </w:r>
      <w:r w:rsidRPr="009E4699">
        <w:t>ffecting the risk</w:t>
      </w:r>
    </w:p>
    <w:p w14:paraId="5796EA28" w14:textId="77777777" w:rsidR="009E4699" w:rsidRPr="009E4699" w:rsidRDefault="009E4699" w:rsidP="009E4699">
      <w:pPr>
        <w:pStyle w:val="ListNumber"/>
      </w:pPr>
      <w:r w:rsidRPr="009E4699">
        <w:t xml:space="preserve">Please, consider Annex </w:t>
      </w:r>
      <w:r w:rsidR="0060626F">
        <w:t>VI</w:t>
      </w:r>
      <w:r w:rsidRPr="009E4699">
        <w:t xml:space="preserve"> for some examples.</w:t>
      </w:r>
    </w:p>
    <w:p w14:paraId="53A1EDED" w14:textId="3EE8175C" w:rsidR="009E4699" w:rsidRPr="009E4699" w:rsidRDefault="009E4699" w:rsidP="009E4699">
      <w:pPr>
        <w:pStyle w:val="ListNumber"/>
      </w:pPr>
      <w:r w:rsidRPr="009E4699">
        <w:t xml:space="preserve">The worst-case core </w:t>
      </w:r>
      <w:r w:rsidR="006823B6">
        <w:t>composition</w:t>
      </w:r>
      <w:r w:rsidRPr="009E4699">
        <w:t xml:space="preserve"> does not need to represent all highest component concentrations, nor contain al</w:t>
      </w:r>
      <w:r w:rsidR="000D7F52">
        <w:t>l components of the formulation. T</w:t>
      </w:r>
      <w:r w:rsidRPr="009E4699">
        <w:t xml:space="preserve">hese can be presented as an extension </w:t>
      </w:r>
      <w:r w:rsidR="000D7F52">
        <w:t xml:space="preserve">to the core </w:t>
      </w:r>
      <w:r w:rsidRPr="009E4699">
        <w:t xml:space="preserve">(see </w:t>
      </w:r>
      <w:r w:rsidR="0060626F">
        <w:t xml:space="preserve">below </w:t>
      </w:r>
      <w:r w:rsidRPr="009E4699">
        <w:t xml:space="preserve">and example in Annex </w:t>
      </w:r>
      <w:r w:rsidR="000D7F52">
        <w:t>VI)</w:t>
      </w:r>
      <w:r w:rsidRPr="009E4699">
        <w:t>, if a core assessment of these would result in an overestimation of risk or significantly restrict the authorisation overall. In such case</w:t>
      </w:r>
      <w:r w:rsidR="001E3A38">
        <w:t>,</w:t>
      </w:r>
      <w:r w:rsidRPr="009E4699">
        <w:t xml:space="preserve"> a lower core formulation than the family Level 1 maximum can be set. However, this core formulation should still include a significant proportion of the total Level 1 BPF.</w:t>
      </w:r>
    </w:p>
    <w:p w14:paraId="06317E6F" w14:textId="77777777" w:rsidR="009E4699" w:rsidRPr="001815D1" w:rsidRDefault="000D7F52" w:rsidP="000D7F52">
      <w:pPr>
        <w:pStyle w:val="ListNumber"/>
        <w:numPr>
          <w:ilvl w:val="0"/>
          <w:numId w:val="0"/>
        </w:numPr>
        <w:ind w:left="992"/>
        <w:rPr>
          <w:b/>
          <w:u w:val="single"/>
        </w:rPr>
      </w:pPr>
      <w:r w:rsidRPr="001815D1">
        <w:rPr>
          <w:b/>
          <w:u w:val="single"/>
        </w:rPr>
        <w:t xml:space="preserve">Section 3: </w:t>
      </w:r>
      <w:r w:rsidR="009E4699" w:rsidRPr="001815D1">
        <w:rPr>
          <w:b/>
          <w:u w:val="single"/>
        </w:rPr>
        <w:t>Worst case composition to be taken into account for efficacy core assessment</w:t>
      </w:r>
    </w:p>
    <w:p w14:paraId="33CC19EE" w14:textId="77777777" w:rsidR="009E4699" w:rsidRPr="009E4699" w:rsidRDefault="009E4699" w:rsidP="009E4699">
      <w:pPr>
        <w:pStyle w:val="ListNumber"/>
      </w:pPr>
      <w:r w:rsidRPr="009E4699">
        <w:t>The worst case composition (e.g. representative test product(s) and expert judgement/bridging studies where applicable) to be taken into account is generally defined by e.g.</w:t>
      </w:r>
      <w:r w:rsidR="000D7F52">
        <w:t>:</w:t>
      </w:r>
    </w:p>
    <w:p w14:paraId="380B7C61" w14:textId="77777777" w:rsidR="009E4699" w:rsidRPr="009E4699" w:rsidRDefault="009E4699" w:rsidP="00133C1C">
      <w:pPr>
        <w:pStyle w:val="ListNumber1Level2"/>
        <w:numPr>
          <w:ilvl w:val="1"/>
          <w:numId w:val="32"/>
        </w:numPr>
        <w:spacing w:after="120"/>
      </w:pPr>
      <w:r w:rsidRPr="009E4699">
        <w:t>Lowest (in use) concentration of active substance</w:t>
      </w:r>
    </w:p>
    <w:p w14:paraId="2BAF6291" w14:textId="77777777" w:rsidR="009E4699" w:rsidRPr="009E4699" w:rsidRDefault="009E4699" w:rsidP="00133C1C">
      <w:pPr>
        <w:pStyle w:val="ListNumber1Level2"/>
        <w:numPr>
          <w:ilvl w:val="1"/>
          <w:numId w:val="32"/>
        </w:numPr>
        <w:spacing w:after="120"/>
      </w:pPr>
      <w:r w:rsidRPr="009E4699">
        <w:t xml:space="preserve">Lowest (in use) concentration of co-formulants positively </w:t>
      </w:r>
      <w:r w:rsidR="001E3A38">
        <w:t>a</w:t>
      </w:r>
      <w:r w:rsidRPr="009E4699">
        <w:t>ffecting efficacy</w:t>
      </w:r>
    </w:p>
    <w:p w14:paraId="0265198A" w14:textId="77777777" w:rsidR="009E4699" w:rsidRPr="009E4699" w:rsidRDefault="009E4699" w:rsidP="00133C1C">
      <w:pPr>
        <w:pStyle w:val="ListNumber1Level2"/>
        <w:numPr>
          <w:ilvl w:val="1"/>
          <w:numId w:val="32"/>
        </w:numPr>
        <w:spacing w:after="120"/>
      </w:pPr>
      <w:r w:rsidRPr="009E4699">
        <w:t xml:space="preserve">Highest (in use) concentration of co-formulants negatively </w:t>
      </w:r>
      <w:r w:rsidR="001E3A38">
        <w:t>a</w:t>
      </w:r>
      <w:r w:rsidRPr="009E4699">
        <w:t>ffecting efficacy</w:t>
      </w:r>
    </w:p>
    <w:p w14:paraId="7B9173D5" w14:textId="77777777" w:rsidR="009E4699" w:rsidRPr="009E4699" w:rsidRDefault="009E4699" w:rsidP="00133C1C">
      <w:pPr>
        <w:pStyle w:val="ListNumber1Level2"/>
        <w:numPr>
          <w:ilvl w:val="1"/>
          <w:numId w:val="32"/>
        </w:numPr>
        <w:spacing w:after="120"/>
      </w:pPr>
      <w:r w:rsidRPr="009E4699">
        <w:t>Phys. chem. property (e.g. pH value) which is most unfavourable for efficacy</w:t>
      </w:r>
    </w:p>
    <w:p w14:paraId="1615B522" w14:textId="77777777" w:rsidR="009E4699" w:rsidRPr="009E4699" w:rsidRDefault="009E4699" w:rsidP="009E4699">
      <w:pPr>
        <w:pStyle w:val="ListNumber"/>
      </w:pPr>
      <w:r w:rsidRPr="009E4699">
        <w:t>Justification should be given why the chosen test product(s) covers the whole core. This can include expert judgement or bridging studies where applicable.</w:t>
      </w:r>
    </w:p>
    <w:p w14:paraId="59D2A268" w14:textId="77777777" w:rsidR="008D487F" w:rsidRDefault="009E4699" w:rsidP="009E4699">
      <w:pPr>
        <w:pStyle w:val="ListNumber"/>
      </w:pPr>
      <w:r w:rsidRPr="009E4699">
        <w:t>In cases where the minimum co</w:t>
      </w:r>
      <w:r w:rsidR="000D7F52">
        <w:t>ncentration of active substance</w:t>
      </w:r>
      <w:r w:rsidRPr="009E4699">
        <w:t xml:space="preserve"> or associated co-formulant compositions, do not support the majority of the targets/label claims within the core</w:t>
      </w:r>
      <w:r w:rsidR="008D487F">
        <w:t xml:space="preserve">, the applicant can </w:t>
      </w:r>
      <w:r w:rsidRPr="009E4699">
        <w:t>set the worst-case composition for efficacy at</w:t>
      </w:r>
      <w:r w:rsidR="008D487F">
        <w:t>:</w:t>
      </w:r>
    </w:p>
    <w:p w14:paraId="00AD4D72" w14:textId="68D4EC2A" w:rsidR="008D487F" w:rsidRDefault="009E4699" w:rsidP="009D0712">
      <w:pPr>
        <w:pStyle w:val="ListNumber1Level2"/>
        <w:numPr>
          <w:ilvl w:val="1"/>
          <w:numId w:val="40"/>
        </w:numPr>
      </w:pPr>
      <w:r w:rsidRPr="009E4699">
        <w:t xml:space="preserve">another location within the Level 1 family range with products inside core formulation </w:t>
      </w:r>
      <w:r w:rsidR="001459FA">
        <w:t>(</w:t>
      </w:r>
      <w:r w:rsidRPr="009E4699">
        <w:t xml:space="preserve">evaluated as a subset </w:t>
      </w:r>
      <w:r w:rsidR="008D487F">
        <w:t xml:space="preserve">- </w:t>
      </w:r>
      <w:r w:rsidRPr="009E4699">
        <w:t xml:space="preserve">see </w:t>
      </w:r>
      <w:r w:rsidR="000D7F52">
        <w:t xml:space="preserve">section </w:t>
      </w:r>
      <w:r w:rsidR="00CB006E">
        <w:t>8</w:t>
      </w:r>
      <w:r w:rsidR="002A118D">
        <w:t xml:space="preserve">) </w:t>
      </w:r>
      <w:r w:rsidR="008D487F">
        <w:t>or</w:t>
      </w:r>
    </w:p>
    <w:p w14:paraId="1380C3D7" w14:textId="4B74F135" w:rsidR="008D487F" w:rsidRDefault="009E4699" w:rsidP="00B15361">
      <w:pPr>
        <w:pStyle w:val="ListNumber1Level2"/>
      </w:pPr>
      <w:r w:rsidRPr="009E4699">
        <w:t xml:space="preserve">outside the core formulation </w:t>
      </w:r>
      <w:r w:rsidR="001459FA">
        <w:t>(</w:t>
      </w:r>
      <w:r w:rsidRPr="009E4699">
        <w:t xml:space="preserve">evaluated as an extension </w:t>
      </w:r>
      <w:r w:rsidR="008D487F">
        <w:t xml:space="preserve">- </w:t>
      </w:r>
      <w:r w:rsidR="000D7F52">
        <w:t xml:space="preserve">see section </w:t>
      </w:r>
      <w:r w:rsidR="00CB006E">
        <w:t>9</w:t>
      </w:r>
      <w:r w:rsidRPr="009E4699">
        <w:t xml:space="preserve">). </w:t>
      </w:r>
    </w:p>
    <w:p w14:paraId="4DE5D623" w14:textId="77777777" w:rsidR="009E4699" w:rsidRPr="009E4699" w:rsidRDefault="009E4699" w:rsidP="0051030B">
      <w:pPr>
        <w:pStyle w:val="ListNumber"/>
        <w:numPr>
          <w:ilvl w:val="0"/>
          <w:numId w:val="0"/>
        </w:numPr>
        <w:ind w:left="992"/>
      </w:pPr>
      <w:r w:rsidRPr="009E4699">
        <w:lastRenderedPageBreak/>
        <w:t>This can be an important tool in supporting para. 77 of Annex VI of the BPR.</w:t>
      </w:r>
    </w:p>
    <w:p w14:paraId="0554E98D" w14:textId="77777777" w:rsidR="009E4699" w:rsidRPr="002433D5" w:rsidRDefault="000D7F52" w:rsidP="000D7F52">
      <w:pPr>
        <w:pStyle w:val="ListNumber"/>
        <w:numPr>
          <w:ilvl w:val="0"/>
          <w:numId w:val="0"/>
        </w:numPr>
        <w:ind w:left="992"/>
        <w:rPr>
          <w:b/>
          <w:u w:val="single"/>
        </w:rPr>
      </w:pPr>
      <w:r w:rsidRPr="002433D5">
        <w:rPr>
          <w:b/>
          <w:u w:val="single"/>
        </w:rPr>
        <w:t xml:space="preserve">Section 4: </w:t>
      </w:r>
      <w:r w:rsidR="009E4699" w:rsidRPr="002433D5">
        <w:rPr>
          <w:b/>
          <w:u w:val="single"/>
        </w:rPr>
        <w:t>Risk assessment of the uses</w:t>
      </w:r>
    </w:p>
    <w:p w14:paraId="25908683" w14:textId="5C464A0E" w:rsidR="009E4699" w:rsidRPr="009E4699" w:rsidRDefault="009E4699" w:rsidP="009E4699">
      <w:pPr>
        <w:pStyle w:val="ListNumber"/>
      </w:pPr>
      <w:r w:rsidRPr="009E4699">
        <w:t xml:space="preserve">While there is only “one” </w:t>
      </w:r>
      <w:r w:rsidR="002812D9" w:rsidRPr="009E4699">
        <w:t>worst-case</w:t>
      </w:r>
      <w:r w:rsidRPr="009E4699">
        <w:t xml:space="preserve"> composition to be taken into account, generally</w:t>
      </w:r>
      <w:bookmarkStart w:id="2" w:name="_Ref531167570"/>
      <w:r w:rsidRPr="009E4699">
        <w:rPr>
          <w:vertAlign w:val="superscript"/>
        </w:rPr>
        <w:footnoteReference w:id="14"/>
      </w:r>
      <w:bookmarkEnd w:id="2"/>
      <w:r w:rsidRPr="009E4699">
        <w:t xml:space="preserve"> every use applied for in the SPC needs to be assessed. When assessing the uses the different parameters defining the use are taken </w:t>
      </w:r>
      <w:bookmarkStart w:id="3" w:name="_Ref531181173"/>
      <w:r w:rsidR="00C13E9D">
        <w:t>into account</w:t>
      </w:r>
      <w:r w:rsidRPr="009E4699">
        <w:rPr>
          <w:vertAlign w:val="superscript"/>
        </w:rPr>
        <w:footnoteReference w:id="15"/>
      </w:r>
      <w:bookmarkEnd w:id="3"/>
      <w:r w:rsidR="00C13E9D">
        <w:t xml:space="preserve">. </w:t>
      </w:r>
      <w:r w:rsidRPr="009E4699">
        <w:t>Since Article 17</w:t>
      </w:r>
      <w:r w:rsidR="00BF08C6">
        <w:t xml:space="preserve">(6) of the </w:t>
      </w:r>
      <w:r w:rsidRPr="009E4699">
        <w:t xml:space="preserve">BPR (addition of further BP to an authorised BPF) requires a notification only, a use within the core must have one consistent set of RMMs etc. (see </w:t>
      </w:r>
      <w:r w:rsidR="004B4991">
        <w:t>examples 3.1 and 3.2 of Annex VI</w:t>
      </w:r>
      <w:r w:rsidRPr="009E4699">
        <w:t>). Therefore, a use needs be assessed as described in the following scheme:</w:t>
      </w:r>
    </w:p>
    <w:p w14:paraId="34852396" w14:textId="77777777" w:rsidR="009E4699" w:rsidRPr="009E4699" w:rsidRDefault="009E4699" w:rsidP="002812D9">
      <w:pPr>
        <w:pStyle w:val="ListNumber"/>
        <w:numPr>
          <w:ilvl w:val="0"/>
          <w:numId w:val="0"/>
        </w:numPr>
        <w:ind w:left="992"/>
        <w:rPr>
          <w:b/>
        </w:rPr>
      </w:pPr>
      <w:r w:rsidRPr="009E4699">
        <w:rPr>
          <w:b/>
          <w:noProof/>
          <w:lang w:val="fr-BE" w:eastAsia="fr-BE"/>
        </w:rPr>
        <w:drawing>
          <wp:inline distT="0" distB="0" distL="0" distR="0" wp14:anchorId="17D431D6" wp14:editId="4288A4BA">
            <wp:extent cx="4117975" cy="1893570"/>
            <wp:effectExtent l="0" t="0" r="0" b="0"/>
            <wp:docPr id="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k flow.PNG"/>
                    <pic:cNvPicPr/>
                  </pic:nvPicPr>
                  <pic:blipFill>
                    <a:blip r:embed="rId27">
                      <a:extLst>
                        <a:ext uri="{28A0092B-C50C-407E-A947-70E740481C1C}">
                          <a14:useLocalDpi xmlns:a14="http://schemas.microsoft.com/office/drawing/2010/main" val="0"/>
                        </a:ext>
                      </a:extLst>
                    </a:blip>
                    <a:stretch>
                      <a:fillRect/>
                    </a:stretch>
                  </pic:blipFill>
                  <pic:spPr>
                    <a:xfrm>
                      <a:off x="0" y="0"/>
                      <a:ext cx="4117975" cy="1893570"/>
                    </a:xfrm>
                    <a:prstGeom prst="rect">
                      <a:avLst/>
                    </a:prstGeom>
                  </pic:spPr>
                </pic:pic>
              </a:graphicData>
            </a:graphic>
          </wp:inline>
        </w:drawing>
      </w:r>
    </w:p>
    <w:p w14:paraId="72B2FCB8" w14:textId="77777777" w:rsidR="009E4699" w:rsidRPr="009E4699" w:rsidRDefault="00A20237" w:rsidP="002812D9">
      <w:pPr>
        <w:pStyle w:val="ListNumber"/>
        <w:numPr>
          <w:ilvl w:val="0"/>
          <w:numId w:val="0"/>
        </w:numPr>
        <w:ind w:left="992"/>
        <w:rPr>
          <w:b/>
        </w:rPr>
      </w:pPr>
      <w:r>
        <w:rPr>
          <w:b/>
        </w:rPr>
        <w:t>Figure 4</w:t>
      </w:r>
      <w:r w:rsidR="009E4699" w:rsidRPr="009E4699">
        <w:rPr>
          <w:b/>
        </w:rPr>
        <w:t xml:space="preserve">: </w:t>
      </w:r>
      <w:r w:rsidR="009E4699" w:rsidRPr="009E4699">
        <w:t>Workflow for risk assessment of a use.</w:t>
      </w:r>
    </w:p>
    <w:p w14:paraId="579606C5" w14:textId="77777777" w:rsidR="009E4699" w:rsidRPr="009E4699" w:rsidRDefault="009E4699" w:rsidP="00133C1C">
      <w:pPr>
        <w:pStyle w:val="ListNumber1Level2"/>
        <w:numPr>
          <w:ilvl w:val="1"/>
          <w:numId w:val="33"/>
        </w:numPr>
        <w:spacing w:after="120"/>
      </w:pPr>
      <w:r w:rsidRPr="009E4699">
        <w:t>In Tier 1 the worst case composition and the worst case for each parameter</w:t>
      </w:r>
      <w:r w:rsidRPr="009E4699">
        <w:rPr>
          <w:vertAlign w:val="superscript"/>
        </w:rPr>
        <w:fldChar w:fldCharType="begin"/>
      </w:r>
      <w:r w:rsidRPr="002812D9">
        <w:rPr>
          <w:vertAlign w:val="superscript"/>
        </w:rPr>
        <w:instrText xml:space="preserve"> NOTEREF _Ref531181173 \h  \* MERGEFORMAT </w:instrText>
      </w:r>
      <w:r w:rsidRPr="009E4699">
        <w:rPr>
          <w:vertAlign w:val="superscript"/>
        </w:rPr>
      </w:r>
      <w:r w:rsidRPr="009E4699">
        <w:rPr>
          <w:vertAlign w:val="superscript"/>
        </w:rPr>
        <w:fldChar w:fldCharType="separate"/>
      </w:r>
      <w:r w:rsidR="009168D8">
        <w:rPr>
          <w:vertAlign w:val="superscript"/>
        </w:rPr>
        <w:t>12</w:t>
      </w:r>
      <w:r w:rsidRPr="009E4699">
        <w:fldChar w:fldCharType="end"/>
      </w:r>
      <w:r w:rsidRPr="009E4699">
        <w:t xml:space="preserve"> are taken into account.</w:t>
      </w:r>
    </w:p>
    <w:p w14:paraId="318E8B02" w14:textId="77777777" w:rsidR="009E4699" w:rsidRPr="009E4699" w:rsidRDefault="009E4699" w:rsidP="007774CC">
      <w:pPr>
        <w:pStyle w:val="ListNumber1Level2"/>
        <w:spacing w:after="120"/>
      </w:pPr>
      <w:r w:rsidRPr="009E4699">
        <w:t>If</w:t>
      </w:r>
      <w:r w:rsidR="00AA2C81">
        <w:t xml:space="preserve"> there is no risk for the worst-</w:t>
      </w:r>
      <w:r w:rsidRPr="009E4699">
        <w:t>case composition the whole use is acceptable.</w:t>
      </w:r>
    </w:p>
    <w:p w14:paraId="4477A497" w14:textId="77777777" w:rsidR="009E4699" w:rsidRPr="009E4699" w:rsidRDefault="009E4699" w:rsidP="007774CC">
      <w:pPr>
        <w:pStyle w:val="ListNumber1Level2"/>
        <w:spacing w:after="120"/>
      </w:pPr>
      <w:r w:rsidRPr="009E4699">
        <w:t>If there is a risk a refinement is necessary (Tier 2).</w:t>
      </w:r>
    </w:p>
    <w:p w14:paraId="3CF21F08" w14:textId="77777777" w:rsidR="009E4699" w:rsidRPr="009E4699" w:rsidRDefault="009E4699" w:rsidP="007774CC">
      <w:pPr>
        <w:pStyle w:val="ListNumber1Level2"/>
        <w:spacing w:after="120"/>
      </w:pPr>
      <w:r w:rsidRPr="009E4699">
        <w:t>If there are suitable RMMs it has to be kept in mind that there can be only one set of RMMs for a given use.</w:t>
      </w:r>
    </w:p>
    <w:p w14:paraId="2F9D3825" w14:textId="77777777" w:rsidR="009E4699" w:rsidRPr="009E4699" w:rsidRDefault="009E4699" w:rsidP="007774CC">
      <w:pPr>
        <w:pStyle w:val="ListNumber1Level2"/>
        <w:spacing w:after="120"/>
      </w:pPr>
      <w:r w:rsidRPr="009E4699">
        <w:t>Therefore, it has to be checked if the RMMs are the same for the best case composition.</w:t>
      </w:r>
    </w:p>
    <w:p w14:paraId="3D7FACCC" w14:textId="77777777" w:rsidR="009E4699" w:rsidRPr="009E4699" w:rsidRDefault="009E4699" w:rsidP="007774CC">
      <w:pPr>
        <w:pStyle w:val="ListNumber1Level2"/>
        <w:spacing w:after="120"/>
      </w:pPr>
      <w:r w:rsidRPr="009E4699">
        <w:t>If the RMMs are the same for the best and worst case composition the use is acceptable.</w:t>
      </w:r>
    </w:p>
    <w:p w14:paraId="6614E147" w14:textId="605651F2" w:rsidR="009E4699" w:rsidRPr="009E4699" w:rsidRDefault="009E4699" w:rsidP="002812D9">
      <w:pPr>
        <w:pStyle w:val="ListNumber1Level2"/>
      </w:pPr>
      <w:r w:rsidRPr="009E4699">
        <w:t xml:space="preserve">If the RMMs are not the same for the best and worst case composition, level of risk of the use is considered as not similar and therefore the use </w:t>
      </w:r>
      <w:r w:rsidR="00195B4D">
        <w:t>should b</w:t>
      </w:r>
      <w:r w:rsidR="00B87AEA">
        <w:t xml:space="preserve">e considered </w:t>
      </w:r>
      <w:r w:rsidRPr="009E4699">
        <w:t xml:space="preserve">as unacceptable (subject to the application of subsets – see </w:t>
      </w:r>
      <w:r w:rsidR="00D04F4D">
        <w:t xml:space="preserve">section </w:t>
      </w:r>
      <w:r w:rsidR="00CB006E">
        <w:t>7</w:t>
      </w:r>
      <w:r w:rsidRPr="009E4699">
        <w:t xml:space="preserve"> and example in Annex </w:t>
      </w:r>
      <w:r w:rsidR="00D04F4D">
        <w:t>VI</w:t>
      </w:r>
      <w:r w:rsidRPr="009E4699">
        <w:t>).</w:t>
      </w:r>
      <w:r w:rsidRPr="009E4699">
        <w:rPr>
          <w:vertAlign w:val="superscript"/>
        </w:rPr>
        <w:footnoteReference w:id="16"/>
      </w:r>
    </w:p>
    <w:p w14:paraId="4A135275" w14:textId="77777777" w:rsidR="009E4699" w:rsidRPr="001E34E4" w:rsidRDefault="00B17342" w:rsidP="00B17342">
      <w:pPr>
        <w:pStyle w:val="ListNumber"/>
        <w:numPr>
          <w:ilvl w:val="0"/>
          <w:numId w:val="0"/>
        </w:numPr>
        <w:ind w:left="992"/>
        <w:rPr>
          <w:b/>
          <w:u w:val="single"/>
        </w:rPr>
      </w:pPr>
      <w:r w:rsidRPr="001E34E4">
        <w:rPr>
          <w:b/>
          <w:u w:val="single"/>
        </w:rPr>
        <w:lastRenderedPageBreak/>
        <w:t xml:space="preserve">Section 5 : </w:t>
      </w:r>
      <w:r w:rsidR="009E4699" w:rsidRPr="001E34E4">
        <w:rPr>
          <w:b/>
          <w:u w:val="single"/>
        </w:rPr>
        <w:t>Efficacy assessment of the uses</w:t>
      </w:r>
    </w:p>
    <w:p w14:paraId="624F4165" w14:textId="6A92ACFE" w:rsidR="009E4699" w:rsidRDefault="009E4699" w:rsidP="009E4699">
      <w:pPr>
        <w:pStyle w:val="ListNumber"/>
      </w:pPr>
      <w:r w:rsidRPr="009E4699">
        <w:t>While there is only “one” worst case composition to be taken into account generally</w:t>
      </w:r>
      <w:r w:rsidR="004F265F" w:rsidRPr="004F265F">
        <w:rPr>
          <w:vertAlign w:val="superscript"/>
        </w:rPr>
        <w:t>14</w:t>
      </w:r>
      <w:r w:rsidRPr="009E4699">
        <w:t xml:space="preserve"> every use needs to be assessed. When assessing the uses the different parameters defining</w:t>
      </w:r>
      <w:r w:rsidR="00D04F4D">
        <w:t xml:space="preserve"> the use are taken into account</w:t>
      </w:r>
      <w:r w:rsidRPr="009E4699">
        <w:rPr>
          <w:vertAlign w:val="superscript"/>
        </w:rPr>
        <w:footnoteReference w:id="17"/>
      </w:r>
      <w:r w:rsidR="00D04F4D">
        <w:t>.</w:t>
      </w:r>
    </w:p>
    <w:p w14:paraId="158CB94E" w14:textId="655D5160" w:rsidR="00EA7CD3" w:rsidRPr="0031102F" w:rsidRDefault="00EA7CD3" w:rsidP="0031102F">
      <w:pPr>
        <w:pStyle w:val="ListNumber"/>
        <w:numPr>
          <w:ilvl w:val="0"/>
          <w:numId w:val="0"/>
        </w:numPr>
        <w:ind w:left="992"/>
        <w:rPr>
          <w:b/>
          <w:u w:val="single"/>
        </w:rPr>
      </w:pPr>
      <w:r w:rsidRPr="0031102F">
        <w:rPr>
          <w:b/>
          <w:u w:val="single"/>
        </w:rPr>
        <w:t xml:space="preserve">Section </w:t>
      </w:r>
      <w:r w:rsidR="001013AB">
        <w:rPr>
          <w:b/>
          <w:u w:val="single"/>
        </w:rPr>
        <w:t>6</w:t>
      </w:r>
      <w:r w:rsidRPr="0031102F">
        <w:rPr>
          <w:b/>
          <w:u w:val="single"/>
        </w:rPr>
        <w:t xml:space="preserve"> : </w:t>
      </w:r>
      <w:r w:rsidRPr="0031102F">
        <w:rPr>
          <w:b/>
          <w:i/>
          <w:u w:val="single"/>
        </w:rPr>
        <w:t>Meta</w:t>
      </w:r>
      <w:r w:rsidRPr="0031102F">
        <w:rPr>
          <w:b/>
          <w:u w:val="single"/>
        </w:rPr>
        <w:t>-SPC</w:t>
      </w:r>
    </w:p>
    <w:p w14:paraId="52AD913E" w14:textId="2A2BA329" w:rsidR="00EA7CD3" w:rsidRPr="0031102F" w:rsidRDefault="00EA7CD3" w:rsidP="0031102F">
      <w:pPr>
        <w:pStyle w:val="ListNumber"/>
      </w:pPr>
      <w:r w:rsidRPr="0031102F">
        <w:t xml:space="preserve">In the context of the new BPF concept, meta-SPCs have to be understood as a way to present a group of similar products that can be covered by one (core) assessment but cannot be presented in one meta-SPC (see also </w:t>
      </w:r>
      <w:r w:rsidR="00C76B58">
        <w:t xml:space="preserve">section </w:t>
      </w:r>
      <w:r w:rsidRPr="0031102F">
        <w:t>3.2.4 ):</w:t>
      </w:r>
    </w:p>
    <w:p w14:paraId="67A9E24B" w14:textId="77777777" w:rsidR="00EA7CD3" w:rsidRPr="0031102F" w:rsidRDefault="00EA7CD3" w:rsidP="009D0712">
      <w:pPr>
        <w:pStyle w:val="ListNumber1Level2"/>
        <w:numPr>
          <w:ilvl w:val="1"/>
          <w:numId w:val="38"/>
        </w:numPr>
      </w:pPr>
      <w:r w:rsidRPr="0031102F">
        <w:t>due to different H&amp;P phrases,</w:t>
      </w:r>
    </w:p>
    <w:p w14:paraId="7B5B513A" w14:textId="77777777" w:rsidR="00EA7CD3" w:rsidRPr="0031102F" w:rsidRDefault="00EA7CD3" w:rsidP="009D0712">
      <w:pPr>
        <w:pStyle w:val="ListNumber1Level2"/>
        <w:numPr>
          <w:ilvl w:val="1"/>
          <w:numId w:val="38"/>
        </w:numPr>
      </w:pPr>
      <w:r w:rsidRPr="0031102F">
        <w:t>due to different formulations types</w:t>
      </w:r>
      <w:r w:rsidRPr="0031102F">
        <w:rPr>
          <w:vertAlign w:val="superscript"/>
        </w:rPr>
        <w:footnoteReference w:id="18"/>
      </w:r>
      <w:r w:rsidRPr="0031102F">
        <w:t>,</w:t>
      </w:r>
    </w:p>
    <w:p w14:paraId="7948132E" w14:textId="77777777" w:rsidR="00EA7CD3" w:rsidRPr="0031102F" w:rsidRDefault="00EA7CD3" w:rsidP="00EA7CD3">
      <w:pPr>
        <w:pStyle w:val="ListNumber1Level2"/>
        <w:numPr>
          <w:ilvl w:val="1"/>
          <w:numId w:val="28"/>
        </w:numPr>
      </w:pPr>
      <w:r w:rsidRPr="0031102F">
        <w:t>to include concentrates and corresponding RTU products into one BPF (see Example 1.2 in Annex VI).</w:t>
      </w:r>
      <w:r w:rsidRPr="0031102F">
        <w:rPr>
          <w:vertAlign w:val="superscript"/>
        </w:rPr>
        <w:footnoteReference w:id="19"/>
      </w:r>
    </w:p>
    <w:p w14:paraId="5D14C851" w14:textId="77777777" w:rsidR="00EA7CD3" w:rsidRPr="0031102F" w:rsidRDefault="00EA7CD3" w:rsidP="00EA7CD3">
      <w:pPr>
        <w:pStyle w:val="ListNumber"/>
      </w:pPr>
      <w:r w:rsidRPr="0031102F">
        <w:t xml:space="preserve">A BPF can consist of one or more </w:t>
      </w:r>
      <w:r w:rsidRPr="0031102F">
        <w:rPr>
          <w:i/>
        </w:rPr>
        <w:t>meta</w:t>
      </w:r>
      <w:r w:rsidRPr="0031102F">
        <w:t xml:space="preserve">-SPC. The number of </w:t>
      </w:r>
      <w:r w:rsidRPr="0031102F">
        <w:rPr>
          <w:i/>
        </w:rPr>
        <w:t>meta</w:t>
      </w:r>
      <w:r w:rsidRPr="0031102F">
        <w:t>-SPC has to be carefully considered by the applicant to ensure that the assessment by CAs</w:t>
      </w:r>
      <w:r w:rsidR="00C76B58">
        <w:t xml:space="preserve"> </w:t>
      </w:r>
      <w:r w:rsidRPr="0031102F">
        <w:t>does not become overly complex and difficult to manage.</w:t>
      </w:r>
    </w:p>
    <w:p w14:paraId="0155A7F7" w14:textId="77777777" w:rsidR="00EA7CD3" w:rsidRPr="0031102F" w:rsidRDefault="00EA7CD3" w:rsidP="00EA7CD3">
      <w:pPr>
        <w:pStyle w:val="ListNumber"/>
      </w:pPr>
      <w:r w:rsidRPr="0031102F">
        <w:t xml:space="preserve">Where a </w:t>
      </w:r>
      <w:r w:rsidRPr="0031102F">
        <w:rPr>
          <w:i/>
        </w:rPr>
        <w:t>meta-</w:t>
      </w:r>
      <w:r w:rsidRPr="0031102F">
        <w:t xml:space="preserve">SPC contains several similar uses (i.e. different combinations of user category, target organism, field of use, application method, etc.), these uses will have to be clearly associated with the relevant instructions for use and RMMs in accordance with the principles agreed in document CA-May14-Doc.5.6-Final. </w:t>
      </w:r>
    </w:p>
    <w:p w14:paraId="4E196EB8" w14:textId="77777777" w:rsidR="00EA7CD3" w:rsidRPr="0031102F" w:rsidRDefault="00EA7CD3" w:rsidP="00EA7CD3">
      <w:pPr>
        <w:pStyle w:val="ListNumber"/>
      </w:pPr>
      <w:r w:rsidRPr="0031102F">
        <w:t xml:space="preserve">All the authorised uses in a </w:t>
      </w:r>
      <w:r w:rsidRPr="0031102F">
        <w:rPr>
          <w:i/>
        </w:rPr>
        <w:t>meta</w:t>
      </w:r>
      <w:r w:rsidRPr="0031102F">
        <w:t xml:space="preserve">-SPC to which an individual product belongs do not need to be included in a label. A selection of uses can be made at the label stage. However, in accordance with document CA-May14-Doc.5.6-Final, there should be full compliance with the relevant content of the </w:t>
      </w:r>
      <w:r w:rsidRPr="0031102F">
        <w:rPr>
          <w:i/>
        </w:rPr>
        <w:t>meta</w:t>
      </w:r>
      <w:r w:rsidRPr="0031102F">
        <w:t>-SPC. For example, if one use combines different applications methods (brushing and roller) at meta-SPC level, the label shall contain the same reference to the application methods.</w:t>
      </w:r>
    </w:p>
    <w:p w14:paraId="40B96754" w14:textId="5461EE2A" w:rsidR="009E4699" w:rsidRPr="00DB3C8D" w:rsidRDefault="00B17342" w:rsidP="00B17342">
      <w:pPr>
        <w:pStyle w:val="ListNumber"/>
        <w:numPr>
          <w:ilvl w:val="0"/>
          <w:numId w:val="0"/>
        </w:numPr>
        <w:ind w:left="992"/>
        <w:rPr>
          <w:b/>
          <w:u w:val="single"/>
        </w:rPr>
      </w:pPr>
      <w:r w:rsidRPr="00DB3C8D">
        <w:rPr>
          <w:b/>
          <w:u w:val="single"/>
        </w:rPr>
        <w:t xml:space="preserve">Section </w:t>
      </w:r>
      <w:r w:rsidR="001013AB">
        <w:rPr>
          <w:b/>
          <w:u w:val="single"/>
        </w:rPr>
        <w:t>7</w:t>
      </w:r>
      <w:r w:rsidRPr="00DB3C8D">
        <w:rPr>
          <w:b/>
          <w:u w:val="single"/>
        </w:rPr>
        <w:t xml:space="preserve"> : </w:t>
      </w:r>
      <w:r w:rsidR="009E4699" w:rsidRPr="00DB3C8D">
        <w:rPr>
          <w:b/>
          <w:u w:val="single"/>
        </w:rPr>
        <w:t>Subsets to the core</w:t>
      </w:r>
    </w:p>
    <w:p w14:paraId="23BDE8B2" w14:textId="180384B0" w:rsidR="009E4699" w:rsidRPr="009E4699" w:rsidRDefault="009E4699" w:rsidP="009E4699">
      <w:pPr>
        <w:pStyle w:val="ListNumber"/>
      </w:pPr>
      <w:r w:rsidRPr="009E4699">
        <w:t>There may be cases where the efficacy</w:t>
      </w:r>
      <w:r w:rsidRPr="009E4699">
        <w:rPr>
          <w:vertAlign w:val="superscript"/>
        </w:rPr>
        <w:footnoteReference w:id="20"/>
      </w:r>
      <w:r w:rsidRPr="009E4699">
        <w:t xml:space="preserve"> or a safe use</w:t>
      </w:r>
      <w:r w:rsidRPr="009E4699">
        <w:rPr>
          <w:vertAlign w:val="superscript"/>
        </w:rPr>
        <w:footnoteReference w:id="21"/>
      </w:r>
      <w:r w:rsidRPr="009E4699">
        <w:t xml:space="preserve"> cannot be supported over the whole composition range of the core</w:t>
      </w:r>
      <w:r w:rsidR="004C6E5C">
        <w:t xml:space="preserve"> for a specific use</w:t>
      </w:r>
      <w:r w:rsidRPr="009E4699">
        <w:t xml:space="preserve">. In such cases it can be appropriate to set </w:t>
      </w:r>
      <w:r w:rsidR="004C6E5C">
        <w:t>another</w:t>
      </w:r>
      <w:r w:rsidRPr="009E4699">
        <w:t xml:space="preserve"> worst-case composition for efficacy or risk at </w:t>
      </w:r>
      <w:r w:rsidRPr="009E4699">
        <w:lastRenderedPageBreak/>
        <w:t>another location within the core range and manage the other target organisms/risks as subsets to the core.</w:t>
      </w:r>
      <w:r w:rsidRPr="009E4699">
        <w:rPr>
          <w:vertAlign w:val="superscript"/>
        </w:rPr>
        <w:footnoteReference w:id="22"/>
      </w:r>
    </w:p>
    <w:p w14:paraId="4794ACB6" w14:textId="77777777" w:rsidR="009E4699" w:rsidRPr="009E4699" w:rsidRDefault="009E4699" w:rsidP="009E4699">
      <w:pPr>
        <w:pStyle w:val="ListNumber"/>
      </w:pPr>
      <w:r w:rsidRPr="009E4699">
        <w:t xml:space="preserve">There are three possible types of subsets (see </w:t>
      </w:r>
      <w:r w:rsidR="008D6336">
        <w:t>figure 5</w:t>
      </w:r>
      <w:r w:rsidRPr="009E4699">
        <w:t xml:space="preserve"> below) which require different numbers of refinements</w:t>
      </w:r>
      <w:r w:rsidRPr="009E4699">
        <w:rPr>
          <w:vertAlign w:val="superscript"/>
        </w:rPr>
        <w:footnoteReference w:id="23"/>
      </w:r>
      <w:r w:rsidRPr="009E4699">
        <w:t xml:space="preserve"> of the core assessment:</w:t>
      </w:r>
    </w:p>
    <w:p w14:paraId="2DB296DD" w14:textId="6C7109F1" w:rsidR="009E4699" w:rsidRPr="00B15361" w:rsidRDefault="009E4699" w:rsidP="009D0712">
      <w:pPr>
        <w:pStyle w:val="ListNumber1Level2"/>
        <w:numPr>
          <w:ilvl w:val="1"/>
          <w:numId w:val="41"/>
        </w:numPr>
        <w:rPr>
          <w:b/>
        </w:rPr>
      </w:pPr>
      <w:r w:rsidRPr="00B15361">
        <w:rPr>
          <w:b/>
        </w:rPr>
        <w:t xml:space="preserve">Subsets in order to address different levels of risk </w:t>
      </w:r>
      <w:r w:rsidRPr="009E4699">
        <w:t>(see subset 1 in yellow below) require a refinement</w:t>
      </w:r>
      <w:r w:rsidRPr="009E4699">
        <w:rPr>
          <w:vertAlign w:val="superscript"/>
        </w:rPr>
        <w:footnoteReference w:id="24"/>
      </w:r>
      <w:r w:rsidRPr="009E4699">
        <w:t xml:space="preserve"> of the human/animal health and/or environmental risk assessment using a different </w:t>
      </w:r>
      <w:r w:rsidR="00DB3C8D" w:rsidRPr="009E4699">
        <w:t>worst-case</w:t>
      </w:r>
      <w:r w:rsidRPr="009E4699">
        <w:t xml:space="preserve"> composition from within the already established core</w:t>
      </w:r>
      <w:bookmarkStart w:id="4" w:name="_Ref531185371"/>
      <w:r w:rsidRPr="009E4699">
        <w:rPr>
          <w:vertAlign w:val="superscript"/>
        </w:rPr>
        <w:footnoteReference w:id="25"/>
      </w:r>
      <w:bookmarkEnd w:id="4"/>
      <w:r w:rsidR="008D6336">
        <w:t>.</w:t>
      </w:r>
    </w:p>
    <w:p w14:paraId="37526079" w14:textId="5A060371" w:rsidR="009E4699" w:rsidRPr="009E4699" w:rsidRDefault="009E4699" w:rsidP="00B15361">
      <w:pPr>
        <w:pStyle w:val="ListNumber1Level2"/>
        <w:rPr>
          <w:b/>
        </w:rPr>
      </w:pPr>
      <w:r w:rsidRPr="009E4699">
        <w:rPr>
          <w:b/>
        </w:rPr>
        <w:t>Subsets in order to address different levels of efficacy</w:t>
      </w:r>
      <w:bookmarkStart w:id="5" w:name="_Ref531961228"/>
      <w:r w:rsidRPr="009E4699">
        <w:rPr>
          <w:vertAlign w:val="superscript"/>
        </w:rPr>
        <w:footnoteReference w:id="26"/>
      </w:r>
      <w:bookmarkEnd w:id="5"/>
      <w:r w:rsidRPr="009E4699">
        <w:rPr>
          <w:b/>
        </w:rPr>
        <w:t xml:space="preserve"> </w:t>
      </w:r>
      <w:r w:rsidRPr="009E4699">
        <w:t>(see subset 2 in blue below) require a refinement</w:t>
      </w:r>
      <w:r w:rsidRPr="009E4699">
        <w:rPr>
          <w:vertAlign w:val="superscript"/>
        </w:rPr>
        <w:footnoteReference w:id="27"/>
      </w:r>
      <w:r w:rsidRPr="009E4699">
        <w:t xml:space="preserve"> of the efficacy assessment using a different </w:t>
      </w:r>
      <w:r w:rsidR="00DB3C8D" w:rsidRPr="009E4699">
        <w:t>worst-case</w:t>
      </w:r>
      <w:r w:rsidRPr="009E4699">
        <w:t xml:space="preserve"> composition from within the already established core.</w:t>
      </w:r>
      <w:r w:rsidR="007A2F39">
        <w:rPr>
          <w:vertAlign w:val="superscript"/>
        </w:rPr>
        <w:t>25</w:t>
      </w:r>
    </w:p>
    <w:p w14:paraId="6E4BC0AB" w14:textId="33BEE609" w:rsidR="009E4699" w:rsidRPr="009E4699" w:rsidRDefault="009E4699" w:rsidP="00B15361">
      <w:pPr>
        <w:pStyle w:val="ListNumber1Level2"/>
        <w:rPr>
          <w:b/>
        </w:rPr>
      </w:pPr>
      <w:r w:rsidRPr="009E4699">
        <w:rPr>
          <w:b/>
        </w:rPr>
        <w:t xml:space="preserve">Subsets in order to address different levels of risk and efficacy </w:t>
      </w:r>
      <w:r w:rsidRPr="009E4699">
        <w:t>(see subset 3 in green below) require a human/animal health and/or environmental risk assessment as well as efficacy assessment using a different worst case composition from within the already established core.</w:t>
      </w:r>
      <w:r w:rsidR="007A2F39">
        <w:rPr>
          <w:vertAlign w:val="superscript"/>
        </w:rPr>
        <w:t>25</w:t>
      </w:r>
    </w:p>
    <w:p w14:paraId="6B2B6198" w14:textId="77777777" w:rsidR="009E4699" w:rsidRPr="009E4699" w:rsidRDefault="009E4699" w:rsidP="009E4699">
      <w:pPr>
        <w:pStyle w:val="ListNumber"/>
      </w:pPr>
      <w:r w:rsidRPr="009E4699">
        <w:t xml:space="preserve">Please, consider Annex </w:t>
      </w:r>
      <w:r w:rsidR="00333C80">
        <w:t>VI</w:t>
      </w:r>
      <w:r w:rsidRPr="009E4699">
        <w:t xml:space="preserve"> for an example regarding subset 1 (different level of risk) and an example regarding subset 2 (different level of efficacy).</w:t>
      </w:r>
    </w:p>
    <w:p w14:paraId="7A4BFF9F" w14:textId="77777777" w:rsidR="009E4699" w:rsidRPr="009E4699" w:rsidRDefault="009E4699" w:rsidP="008F6BAB">
      <w:pPr>
        <w:pStyle w:val="ListNumber"/>
        <w:numPr>
          <w:ilvl w:val="0"/>
          <w:numId w:val="0"/>
        </w:numPr>
        <w:ind w:left="992"/>
      </w:pPr>
      <w:r w:rsidRPr="009E4699">
        <w:rPr>
          <w:noProof/>
          <w:lang w:val="fr-BE" w:eastAsia="fr-BE"/>
        </w:rPr>
        <w:lastRenderedPageBreak/>
        <w:drawing>
          <wp:inline distT="0" distB="0" distL="0" distR="0" wp14:anchorId="0F244013" wp14:editId="7CBADDD5">
            <wp:extent cx="3625200" cy="3020400"/>
            <wp:effectExtent l="0" t="0" r="0" b="889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129_AddOn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25200" cy="3020400"/>
                    </a:xfrm>
                    <a:prstGeom prst="rect">
                      <a:avLst/>
                    </a:prstGeom>
                  </pic:spPr>
                </pic:pic>
              </a:graphicData>
            </a:graphic>
          </wp:inline>
        </w:drawing>
      </w:r>
    </w:p>
    <w:p w14:paraId="509A7D42" w14:textId="77777777" w:rsidR="009E4699" w:rsidRPr="009E4699" w:rsidRDefault="00841585" w:rsidP="00841585">
      <w:pPr>
        <w:pStyle w:val="ListNumber"/>
        <w:numPr>
          <w:ilvl w:val="0"/>
          <w:numId w:val="0"/>
        </w:numPr>
        <w:ind w:left="992"/>
      </w:pPr>
      <w:r>
        <w:rPr>
          <w:b/>
        </w:rPr>
        <w:t>Figure 5</w:t>
      </w:r>
      <w:r w:rsidR="009E4699" w:rsidRPr="009E4699">
        <w:rPr>
          <w:b/>
        </w:rPr>
        <w:t xml:space="preserve">: </w:t>
      </w:r>
      <w:r w:rsidR="009E4699" w:rsidRPr="009E4699">
        <w:t xml:space="preserve">Visualisation of possible groups of additional products and corresponding core composition </w:t>
      </w:r>
    </w:p>
    <w:p w14:paraId="51C4289D" w14:textId="7F273DA6" w:rsidR="009E4699" w:rsidRPr="00DB3C8D" w:rsidRDefault="00B17342" w:rsidP="008F6BAB">
      <w:pPr>
        <w:pStyle w:val="ListNumber"/>
        <w:numPr>
          <w:ilvl w:val="0"/>
          <w:numId w:val="0"/>
        </w:numPr>
        <w:ind w:left="992"/>
        <w:rPr>
          <w:b/>
          <w:u w:val="single"/>
        </w:rPr>
      </w:pPr>
      <w:r w:rsidRPr="00DB3C8D">
        <w:rPr>
          <w:b/>
          <w:u w:val="single"/>
        </w:rPr>
        <w:t xml:space="preserve">Section </w:t>
      </w:r>
      <w:r w:rsidR="001013AB">
        <w:rPr>
          <w:b/>
          <w:u w:val="single"/>
        </w:rPr>
        <w:t>8</w:t>
      </w:r>
      <w:r w:rsidRPr="00DB3C8D">
        <w:rPr>
          <w:b/>
          <w:u w:val="single"/>
        </w:rPr>
        <w:t xml:space="preserve"> : </w:t>
      </w:r>
      <w:r w:rsidR="009E4699" w:rsidRPr="00DB3C8D">
        <w:rPr>
          <w:b/>
          <w:u w:val="single"/>
        </w:rPr>
        <w:t>Extensions to the core</w:t>
      </w:r>
    </w:p>
    <w:p w14:paraId="6D56EE7E" w14:textId="77777777" w:rsidR="009E4699" w:rsidRPr="009E4699" w:rsidRDefault="009E4699" w:rsidP="009E4699">
      <w:pPr>
        <w:pStyle w:val="ListNumber"/>
      </w:pPr>
      <w:r w:rsidRPr="009E4699">
        <w:t>There may be cases where the inclusion of an additional group of products to the core would significantly restrict the overall authorisation.</w:t>
      </w:r>
      <w:r w:rsidRPr="009E4699">
        <w:rPr>
          <w:vertAlign w:val="superscript"/>
        </w:rPr>
        <w:footnoteReference w:id="28"/>
      </w:r>
      <w:r w:rsidRPr="009E4699">
        <w:t xml:space="preserve"> It can be appropriate to manage such differences in composition as an extension to the core (see extension in red in </w:t>
      </w:r>
      <w:r w:rsidR="00576EBA">
        <w:t>figure 5</w:t>
      </w:r>
      <w:r w:rsidRPr="009E4699">
        <w:t xml:space="preserve"> above).</w:t>
      </w:r>
    </w:p>
    <w:p w14:paraId="3B084159" w14:textId="77777777" w:rsidR="009E4699" w:rsidRPr="009E4699" w:rsidRDefault="009E4699" w:rsidP="009E4699">
      <w:pPr>
        <w:pStyle w:val="ListNumber"/>
      </w:pPr>
      <w:r w:rsidRPr="009E4699">
        <w:t xml:space="preserve">Given the definition of an extension (an additional group of products outside the core) they </w:t>
      </w:r>
      <w:r w:rsidRPr="009E4699">
        <w:rPr>
          <w:u w:val="single"/>
        </w:rPr>
        <w:t>could</w:t>
      </w:r>
      <w:r w:rsidRPr="009E4699">
        <w:t xml:space="preserve"> require a complete assessment:</w:t>
      </w:r>
    </w:p>
    <w:p w14:paraId="46BFCAA0" w14:textId="77777777" w:rsidR="009E4699" w:rsidRPr="009E4699" w:rsidRDefault="009E4699" w:rsidP="00133C1C">
      <w:pPr>
        <w:pStyle w:val="ListNumber1Level2"/>
        <w:numPr>
          <w:ilvl w:val="1"/>
          <w:numId w:val="34"/>
        </w:numPr>
        <w:spacing w:after="120"/>
      </w:pPr>
      <w:r w:rsidRPr="009E4699">
        <w:t>a human/animal health and environmental risk assessment as well as efficacy assessment</w:t>
      </w:r>
      <w:r w:rsidR="00B17342">
        <w:t xml:space="preserve"> </w:t>
      </w:r>
      <w:r w:rsidRPr="009E4699">
        <w:t>and</w:t>
      </w:r>
      <w:r w:rsidR="00B17342">
        <w:t>;</w:t>
      </w:r>
    </w:p>
    <w:p w14:paraId="46CD270E" w14:textId="77777777" w:rsidR="009E4699" w:rsidRPr="009E4699" w:rsidRDefault="009E4699" w:rsidP="00133C1C">
      <w:pPr>
        <w:pStyle w:val="ListNumber1Level2"/>
        <w:numPr>
          <w:ilvl w:val="1"/>
          <w:numId w:val="34"/>
        </w:numPr>
        <w:spacing w:after="120"/>
      </w:pPr>
      <w:r w:rsidRPr="009E4699">
        <w:t>an assessment of physical, chemical and technical properties as well as physical hazards and respective characteristics</w:t>
      </w:r>
      <w:r w:rsidR="004E78B0">
        <w:t xml:space="preserve"> </w:t>
      </w:r>
      <w:r w:rsidRPr="009E4699">
        <w:t xml:space="preserve">each with a worst case </w:t>
      </w:r>
      <w:r w:rsidRPr="0051030B">
        <w:rPr>
          <w:color w:val="000000" w:themeColor="text1"/>
        </w:rPr>
        <w:t xml:space="preserve">composition different from </w:t>
      </w:r>
      <w:r w:rsidRPr="009E4699">
        <w:t>the one for the core.</w:t>
      </w:r>
      <w:r w:rsidR="00834C9F" w:rsidRPr="009E4699">
        <w:t xml:space="preserve"> </w:t>
      </w:r>
    </w:p>
    <w:p w14:paraId="47601023" w14:textId="77777777" w:rsidR="009E4699" w:rsidRPr="009E4699" w:rsidRDefault="009E4699" w:rsidP="009E4699">
      <w:pPr>
        <w:pStyle w:val="ListNumber"/>
      </w:pPr>
      <w:r w:rsidRPr="009E4699">
        <w:t xml:space="preserve">However, in order to ensure a manageable size of the BPF such </w:t>
      </w:r>
      <w:r w:rsidRPr="009E4699">
        <w:rPr>
          <w:u w:val="single"/>
        </w:rPr>
        <w:t>extensions triggering a complete re</w:t>
      </w:r>
      <w:r w:rsidRPr="009E4699">
        <w:rPr>
          <w:u w:val="single"/>
        </w:rPr>
        <w:noBreakHyphen/>
        <w:t>assessment of all BPF parameters</w:t>
      </w:r>
      <w:r w:rsidRPr="009E4699">
        <w:t xml:space="preserve"> independent from the core assessment </w:t>
      </w:r>
      <w:r w:rsidRPr="009E4699">
        <w:rPr>
          <w:u w:val="single"/>
        </w:rPr>
        <w:t>are not acceptable.</w:t>
      </w:r>
      <w:r w:rsidRPr="009E4699">
        <w:t xml:space="preserve"> Only extensions which are limited to a number of refinements of the original core assessment are acceptable.</w:t>
      </w:r>
    </w:p>
    <w:p w14:paraId="4B57F691" w14:textId="77777777" w:rsidR="009E4699" w:rsidRPr="009E4699" w:rsidRDefault="009E4699" w:rsidP="009E4699">
      <w:pPr>
        <w:pStyle w:val="ListNumber"/>
      </w:pPr>
      <w:r w:rsidRPr="009E4699">
        <w:t xml:space="preserve">Please, consider Annex </w:t>
      </w:r>
      <w:r w:rsidR="004E78B0">
        <w:t>VI</w:t>
      </w:r>
      <w:r w:rsidRPr="009E4699">
        <w:t xml:space="preserve"> for an example regarding an extension.</w:t>
      </w:r>
    </w:p>
    <w:p w14:paraId="089AE914" w14:textId="7D60F46C" w:rsidR="009E4699" w:rsidRPr="00DB3C8D" w:rsidRDefault="004E78B0" w:rsidP="008F6BAB">
      <w:pPr>
        <w:pStyle w:val="ListNumber"/>
        <w:numPr>
          <w:ilvl w:val="0"/>
          <w:numId w:val="0"/>
        </w:numPr>
        <w:ind w:left="992"/>
        <w:rPr>
          <w:b/>
          <w:u w:val="single"/>
        </w:rPr>
      </w:pPr>
      <w:r w:rsidRPr="00DB3C8D">
        <w:rPr>
          <w:b/>
          <w:u w:val="single"/>
        </w:rPr>
        <w:t xml:space="preserve">Section </w:t>
      </w:r>
      <w:r w:rsidR="001013AB">
        <w:rPr>
          <w:b/>
          <w:u w:val="single"/>
        </w:rPr>
        <w:t>9</w:t>
      </w:r>
      <w:r w:rsidRPr="00DB3C8D">
        <w:rPr>
          <w:b/>
          <w:u w:val="single"/>
        </w:rPr>
        <w:t xml:space="preserve"> : </w:t>
      </w:r>
      <w:r w:rsidR="009E4699" w:rsidRPr="00DB3C8D">
        <w:rPr>
          <w:b/>
          <w:u w:val="single"/>
        </w:rPr>
        <w:t>Assessment of the uses of the subsets and extensions</w:t>
      </w:r>
    </w:p>
    <w:p w14:paraId="39EC53EC" w14:textId="3D8BB4E5" w:rsidR="009E4699" w:rsidRPr="009E4699" w:rsidRDefault="009E4699" w:rsidP="009E4699">
      <w:pPr>
        <w:pStyle w:val="ListNumber"/>
      </w:pPr>
      <w:r w:rsidRPr="009E4699">
        <w:t>Generally</w:t>
      </w:r>
      <w:r w:rsidR="004E78B0">
        <w:t>,</w:t>
      </w:r>
      <w:r w:rsidRPr="009E4699">
        <w:t xml:space="preserve"> all the uses from the subsets and extensions are assessed in accordance with </w:t>
      </w:r>
      <w:r w:rsidR="00FD2770">
        <w:t xml:space="preserve">section </w:t>
      </w:r>
      <w:r w:rsidRPr="009E4699">
        <w:t>4</w:t>
      </w:r>
      <w:r w:rsidR="00FD2770" w:rsidRPr="00FD2770">
        <w:rPr>
          <w:vertAlign w:val="superscript"/>
        </w:rPr>
        <w:t>1</w:t>
      </w:r>
      <w:r w:rsidR="00CB60A1">
        <w:rPr>
          <w:vertAlign w:val="superscript"/>
        </w:rPr>
        <w:t>4</w:t>
      </w:r>
      <w:r w:rsidR="00FD2770">
        <w:t>.</w:t>
      </w:r>
      <w:r w:rsidRPr="009E4699">
        <w:t xml:space="preserve"> However, depending on the type/scope of the subsets, the scope of the extensions and the differences between uses in the core and the subsets/extensions</w:t>
      </w:r>
      <w:r w:rsidR="00FD2770">
        <w:t>,</w:t>
      </w:r>
      <w:r w:rsidRPr="009E4699">
        <w:t xml:space="preserve"> </w:t>
      </w:r>
      <w:r w:rsidR="00863843">
        <w:t xml:space="preserve">applicants and evaluating competent </w:t>
      </w:r>
      <w:r w:rsidR="00863843">
        <w:lastRenderedPageBreak/>
        <w:t>authorities</w:t>
      </w:r>
      <w:r w:rsidRPr="009E4699">
        <w:t xml:space="preserve"> may consider only the refinement of some aspects of the core assessment.</w:t>
      </w:r>
    </w:p>
    <w:p w14:paraId="3A5C4C4B" w14:textId="3824F587" w:rsidR="009E4699" w:rsidRPr="00DB3C8D" w:rsidRDefault="004E78B0" w:rsidP="008F6BAB">
      <w:pPr>
        <w:pStyle w:val="ListNumber"/>
        <w:numPr>
          <w:ilvl w:val="0"/>
          <w:numId w:val="0"/>
        </w:numPr>
        <w:ind w:left="992"/>
        <w:rPr>
          <w:b/>
          <w:u w:val="single"/>
        </w:rPr>
      </w:pPr>
      <w:r w:rsidRPr="00DB3C8D">
        <w:rPr>
          <w:b/>
          <w:u w:val="single"/>
        </w:rPr>
        <w:t xml:space="preserve">Section </w:t>
      </w:r>
      <w:r w:rsidR="001955A0">
        <w:rPr>
          <w:b/>
          <w:u w:val="single"/>
        </w:rPr>
        <w:t>1</w:t>
      </w:r>
      <w:r w:rsidR="001013AB">
        <w:rPr>
          <w:b/>
          <w:u w:val="single"/>
        </w:rPr>
        <w:t>0</w:t>
      </w:r>
      <w:r w:rsidRPr="00DB3C8D">
        <w:rPr>
          <w:b/>
          <w:u w:val="single"/>
        </w:rPr>
        <w:t xml:space="preserve"> : </w:t>
      </w:r>
      <w:r w:rsidR="009E4699" w:rsidRPr="00DB3C8D">
        <w:rPr>
          <w:b/>
          <w:u w:val="single"/>
        </w:rPr>
        <w:t>Limitation of possible number of subsets and extensions</w:t>
      </w:r>
    </w:p>
    <w:p w14:paraId="01E79EA2" w14:textId="77777777" w:rsidR="009E4699" w:rsidRPr="009E4699" w:rsidRDefault="009E4699" w:rsidP="009E4699">
      <w:pPr>
        <w:pStyle w:val="ListNumber"/>
      </w:pPr>
      <w:r w:rsidRPr="009E4699">
        <w:t xml:space="preserve">In order to avoid applications which are in a large part redundant MS </w:t>
      </w:r>
      <w:r w:rsidRPr="00195B4D">
        <w:rPr>
          <w:b/>
          <w:u w:val="single"/>
        </w:rPr>
        <w:t>can</w:t>
      </w:r>
      <w:r w:rsidRPr="009E4699">
        <w:t xml:space="preserve"> accept the inclusion of subsets and extensions into a BPF application. The extra workload for the eCA depends on the type/scope of the subsets (see </w:t>
      </w:r>
      <w:r w:rsidR="008B510F">
        <w:t>recital 69</w:t>
      </w:r>
      <w:r w:rsidRPr="009E4699">
        <w:t xml:space="preserve"> a) to c) above) and the range/scope of the extensions.</w:t>
      </w:r>
    </w:p>
    <w:p w14:paraId="2DBD67F9" w14:textId="77777777" w:rsidR="009E4699" w:rsidRPr="009E4699" w:rsidRDefault="009E4699" w:rsidP="009E4699">
      <w:pPr>
        <w:pStyle w:val="ListNumber"/>
      </w:pPr>
      <w:r w:rsidRPr="009E4699">
        <w:t>Therefore, in order to still ensure a manageable size of the BPF, it is appropriate to limit the overall number of subsets and extensions that are acceptable.</w:t>
      </w:r>
    </w:p>
    <w:p w14:paraId="564A7AFF" w14:textId="77777777" w:rsidR="009E4699" w:rsidRDefault="009E4699" w:rsidP="009E4699">
      <w:pPr>
        <w:pStyle w:val="ListNumber"/>
      </w:pPr>
      <w:r w:rsidRPr="009E4699">
        <w:t>MS should generally accept only extensions and subsets requiring overall not more than three refinements per family (via subsets and/or extensions).</w:t>
      </w:r>
      <w:r w:rsidRPr="009E4699">
        <w:rPr>
          <w:vertAlign w:val="superscript"/>
        </w:rPr>
        <w:footnoteReference w:id="29"/>
      </w:r>
      <w:r w:rsidRPr="009E4699">
        <w:t xml:space="preserve"> However, subsets considered as necessary in order to support para. 77 of Annex VI of the BPR are supported and would not be included as part of these three refinements (i.e. no maximum upper limit set for para. 77 to facilitate its application by directing refinement flexibility to the other areas of the family).</w:t>
      </w:r>
    </w:p>
    <w:p w14:paraId="025D7AAF" w14:textId="3BAC8741" w:rsidR="00F67FE9" w:rsidRPr="00B979F5" w:rsidRDefault="00F67FE9" w:rsidP="004D5EE1">
      <w:pPr>
        <w:pStyle w:val="ListNumber"/>
        <w:numPr>
          <w:ilvl w:val="0"/>
          <w:numId w:val="0"/>
        </w:numPr>
        <w:ind w:left="992"/>
        <w:rPr>
          <w:b/>
          <w:u w:val="single"/>
        </w:rPr>
      </w:pPr>
      <w:r w:rsidRPr="00B979F5">
        <w:rPr>
          <w:b/>
          <w:u w:val="single"/>
        </w:rPr>
        <w:t>Section 1</w:t>
      </w:r>
      <w:r w:rsidR="001013AB">
        <w:rPr>
          <w:b/>
          <w:u w:val="single"/>
        </w:rPr>
        <w:t>1</w:t>
      </w:r>
      <w:r w:rsidRPr="00B979F5">
        <w:rPr>
          <w:b/>
          <w:u w:val="single"/>
        </w:rPr>
        <w:t xml:space="preserve">: </w:t>
      </w:r>
      <w:r w:rsidR="00B979F5" w:rsidRPr="00B979F5">
        <w:rPr>
          <w:b/>
          <w:u w:val="single"/>
        </w:rPr>
        <w:t>Modifications and notifications</w:t>
      </w:r>
    </w:p>
    <w:p w14:paraId="61234738" w14:textId="33A795ED" w:rsidR="009254E3" w:rsidRPr="00B979F5" w:rsidRDefault="009254E3" w:rsidP="00F67FE9">
      <w:pPr>
        <w:pStyle w:val="ListNumber"/>
      </w:pPr>
      <w:r w:rsidRPr="00B979F5">
        <w:t>A</w:t>
      </w:r>
      <w:r w:rsidR="00705035">
        <w:t xml:space="preserve"> more hazardous</w:t>
      </w:r>
      <w:r w:rsidRPr="00B979F5">
        <w:t xml:space="preserve"> classification and labelling of a given product belonging to a </w:t>
      </w:r>
      <w:r w:rsidRPr="00B979F5">
        <w:rPr>
          <w:i/>
        </w:rPr>
        <w:t>meta</w:t>
      </w:r>
      <w:r w:rsidRPr="00B979F5">
        <w:t xml:space="preserve">-SPC will result in a split of the BPF. In accordance with Article 2(2) of the changes Regulation, the AHs would have to request an ECHA </w:t>
      </w:r>
      <w:r w:rsidR="0085360C" w:rsidRPr="00B979F5">
        <w:t>opinion regarding</w:t>
      </w:r>
      <w:r w:rsidRPr="00B979F5">
        <w:t xml:space="preserve"> the classification </w:t>
      </w:r>
      <w:r w:rsidR="00705035">
        <w:t>o</w:t>
      </w:r>
      <w:r w:rsidRPr="00B979F5">
        <w:t>f such change</w:t>
      </w:r>
      <w:r w:rsidR="00705035">
        <w:t xml:space="preserve"> </w:t>
      </w:r>
      <w:r w:rsidRPr="00B979F5">
        <w:t>(minor vs major).</w:t>
      </w:r>
    </w:p>
    <w:p w14:paraId="66EB6A64" w14:textId="3E451952" w:rsidR="00414D6B" w:rsidRPr="00B979F5" w:rsidRDefault="00F67FE9" w:rsidP="00197580">
      <w:pPr>
        <w:pStyle w:val="ListNumber"/>
      </w:pPr>
      <w:r w:rsidRPr="00B979F5">
        <w:t xml:space="preserve">The </w:t>
      </w:r>
      <w:r w:rsidRPr="004D3500">
        <w:rPr>
          <w:i/>
        </w:rPr>
        <w:t>meta</w:t>
      </w:r>
      <w:r w:rsidRPr="00B979F5">
        <w:t xml:space="preserve">-SPC concept </w:t>
      </w:r>
      <w:r w:rsidRPr="006D60B1">
        <w:t xml:space="preserve">allows to present one group of similar products as </w:t>
      </w:r>
      <w:r w:rsidR="003B7BA5">
        <w:t xml:space="preserve">a </w:t>
      </w:r>
      <w:r w:rsidRPr="006D60B1">
        <w:t>sub-group</w:t>
      </w:r>
      <w:r w:rsidR="003B7BA5">
        <w:t xml:space="preserve"> </w:t>
      </w:r>
      <w:r w:rsidRPr="00B979F5">
        <w:t xml:space="preserve">in order to avoid redundant applications. It also enables a simple post-authorisation notification process in accordance with Article 17(6) of the BPR. Therefore, at the authorisation stage, any </w:t>
      </w:r>
      <w:r w:rsidRPr="004D3500">
        <w:rPr>
          <w:i/>
        </w:rPr>
        <w:t>meta</w:t>
      </w:r>
      <w:r w:rsidRPr="00B979F5">
        <w:t xml:space="preserve">-SPC should at least contain one individual product. Where an additional product does not fit into an existing </w:t>
      </w:r>
      <w:r w:rsidRPr="004D3500">
        <w:rPr>
          <w:i/>
        </w:rPr>
        <w:t>meta</w:t>
      </w:r>
      <w:r w:rsidRPr="00B979F5">
        <w:t xml:space="preserve">-SPC, the AH has to apply for a change to the BPF authorisation in order to create a new </w:t>
      </w:r>
      <w:r w:rsidRPr="004D3500">
        <w:rPr>
          <w:i/>
        </w:rPr>
        <w:t>meta</w:t>
      </w:r>
      <w:r w:rsidRPr="00B979F5">
        <w:t>-SPC</w:t>
      </w:r>
      <w:r w:rsidRPr="00B979F5">
        <w:rPr>
          <w:rStyle w:val="FootnoteReference"/>
        </w:rPr>
        <w:footnoteReference w:id="30"/>
      </w:r>
      <w:r w:rsidRPr="00B979F5">
        <w:t>.</w:t>
      </w:r>
    </w:p>
    <w:p w14:paraId="705D7EFA" w14:textId="77777777" w:rsidR="009571E2" w:rsidRDefault="009571E2" w:rsidP="009571E2">
      <w:pPr>
        <w:pStyle w:val="Heading2"/>
        <w:rPr>
          <w:lang w:eastAsia="en-US"/>
        </w:rPr>
      </w:pPr>
      <w:r>
        <w:rPr>
          <w:lang w:eastAsia="en-US"/>
        </w:rPr>
        <w:t>Splitting of families for ongoing applications</w:t>
      </w:r>
    </w:p>
    <w:p w14:paraId="4DDD384D" w14:textId="77777777" w:rsidR="001F5D0A" w:rsidRDefault="00D5064F" w:rsidP="00EE6AAE">
      <w:pPr>
        <w:pStyle w:val="ListNumber"/>
        <w:rPr>
          <w:lang w:eastAsia="en-US"/>
        </w:rPr>
      </w:pPr>
      <w:r w:rsidRPr="00D5064F">
        <w:rPr>
          <w:lang w:eastAsia="en-US"/>
        </w:rPr>
        <w:t xml:space="preserve">During the evaluation, mutual recognition or peer review of an application for product authorisation, </w:t>
      </w:r>
      <w:r w:rsidR="006F57AE">
        <w:rPr>
          <w:lang w:eastAsia="en-US"/>
        </w:rPr>
        <w:t xml:space="preserve">an eCA could require the applicant to </w:t>
      </w:r>
      <w:r w:rsidRPr="00D5064F">
        <w:rPr>
          <w:lang w:eastAsia="en-US"/>
        </w:rPr>
        <w:t xml:space="preserve">split </w:t>
      </w:r>
      <w:r w:rsidR="006F57AE">
        <w:rPr>
          <w:lang w:eastAsia="en-US"/>
        </w:rPr>
        <w:t xml:space="preserve">the biocidal product family because the biocidal </w:t>
      </w:r>
      <w:r w:rsidRPr="00D5064F">
        <w:rPr>
          <w:lang w:eastAsia="en-US"/>
        </w:rPr>
        <w:t xml:space="preserve">products </w:t>
      </w:r>
      <w:r w:rsidR="006F57AE">
        <w:rPr>
          <w:lang w:eastAsia="en-US"/>
        </w:rPr>
        <w:t>within</w:t>
      </w:r>
      <w:r w:rsidRPr="00D5064F">
        <w:rPr>
          <w:lang w:eastAsia="en-US"/>
        </w:rPr>
        <w:t xml:space="preserve"> the family do not fulfil the </w:t>
      </w:r>
      <w:r w:rsidR="006F57AE">
        <w:rPr>
          <w:lang w:eastAsia="en-US"/>
        </w:rPr>
        <w:t xml:space="preserve">conditions of </w:t>
      </w:r>
      <w:r w:rsidRPr="00D5064F">
        <w:rPr>
          <w:lang w:eastAsia="en-US"/>
        </w:rPr>
        <w:t>similar</w:t>
      </w:r>
      <w:r w:rsidR="006F57AE">
        <w:rPr>
          <w:lang w:eastAsia="en-US"/>
        </w:rPr>
        <w:t>ity of</w:t>
      </w:r>
      <w:r w:rsidRPr="00D5064F">
        <w:rPr>
          <w:lang w:eastAsia="en-US"/>
        </w:rPr>
        <w:t xml:space="preserve"> uses, composition or level</w:t>
      </w:r>
      <w:r w:rsidR="006F57AE">
        <w:rPr>
          <w:lang w:eastAsia="en-US"/>
        </w:rPr>
        <w:t>s</w:t>
      </w:r>
      <w:r w:rsidRPr="00D5064F">
        <w:rPr>
          <w:lang w:eastAsia="en-US"/>
        </w:rPr>
        <w:t xml:space="preserve"> of efficacy or risk</w:t>
      </w:r>
      <w:r w:rsidR="006F57AE">
        <w:rPr>
          <w:lang w:eastAsia="en-US"/>
        </w:rPr>
        <w:t>s</w:t>
      </w:r>
      <w:r w:rsidRPr="00D5064F">
        <w:rPr>
          <w:lang w:eastAsia="en-US"/>
        </w:rPr>
        <w:t xml:space="preserve">.  </w:t>
      </w:r>
    </w:p>
    <w:p w14:paraId="3AC5C900" w14:textId="77777777" w:rsidR="00047130" w:rsidRDefault="001F5D0A" w:rsidP="00EE6AAE">
      <w:pPr>
        <w:pStyle w:val="ListNumber"/>
        <w:rPr>
          <w:lang w:eastAsia="en-US"/>
        </w:rPr>
      </w:pPr>
      <w:r>
        <w:rPr>
          <w:lang w:eastAsia="en-US"/>
        </w:rPr>
        <w:t>In general, equal treatment of applicants should be ensured when a decision to split the family</w:t>
      </w:r>
      <w:r w:rsidR="007520FC" w:rsidRPr="007520FC">
        <w:rPr>
          <w:lang w:eastAsia="en-US"/>
        </w:rPr>
        <w:t xml:space="preserve"> </w:t>
      </w:r>
      <w:r w:rsidR="007520FC">
        <w:rPr>
          <w:lang w:eastAsia="en-US"/>
        </w:rPr>
        <w:t>is taken</w:t>
      </w:r>
      <w:r>
        <w:rPr>
          <w:lang w:eastAsia="en-US"/>
        </w:rPr>
        <w:t>.</w:t>
      </w:r>
      <w:r w:rsidR="008B2D0F">
        <w:rPr>
          <w:lang w:eastAsia="en-US"/>
        </w:rPr>
        <w:t xml:space="preserve"> Conversely, applicants should not take advantage resulting from the splitting of a family compared to applications </w:t>
      </w:r>
      <w:r w:rsidR="007520FC">
        <w:rPr>
          <w:lang w:eastAsia="en-US"/>
        </w:rPr>
        <w:t xml:space="preserve">for which </w:t>
      </w:r>
      <w:r w:rsidR="008B2D0F">
        <w:rPr>
          <w:lang w:eastAsia="en-US"/>
        </w:rPr>
        <w:t xml:space="preserve">the BPF was correctly structured from the beginning. </w:t>
      </w:r>
      <w:r w:rsidR="007520FC">
        <w:rPr>
          <w:lang w:eastAsia="en-US"/>
        </w:rPr>
        <w:t>Against that background, th</w:t>
      </w:r>
      <w:r w:rsidR="008B2D0F">
        <w:rPr>
          <w:lang w:eastAsia="en-US"/>
        </w:rPr>
        <w:t>e following issues needs to be further detailed:</w:t>
      </w:r>
      <w:r w:rsidR="00D5064F" w:rsidRPr="00D5064F">
        <w:rPr>
          <w:lang w:eastAsia="en-US"/>
        </w:rPr>
        <w:t xml:space="preserve"> </w:t>
      </w:r>
    </w:p>
    <w:p w14:paraId="50BCD579" w14:textId="77777777" w:rsidR="007520FC" w:rsidRDefault="007520FC" w:rsidP="00EE6AAE">
      <w:pPr>
        <w:pStyle w:val="ListNumberLevel2"/>
        <w:rPr>
          <w:lang w:eastAsia="en-US"/>
        </w:rPr>
      </w:pPr>
      <w:r w:rsidRPr="007520FC">
        <w:rPr>
          <w:b/>
          <w:lang w:eastAsia="en-US"/>
        </w:rPr>
        <w:t>IT issues</w:t>
      </w:r>
      <w:r>
        <w:rPr>
          <w:lang w:eastAsia="en-US"/>
        </w:rPr>
        <w:t xml:space="preserve"> : The following way forward was agreed: </w:t>
      </w:r>
    </w:p>
    <w:p w14:paraId="77565FF1" w14:textId="675A62DA" w:rsidR="007520FC" w:rsidRDefault="0018474F" w:rsidP="00EE6AAE">
      <w:pPr>
        <w:pStyle w:val="ListDash2"/>
        <w:rPr>
          <w:lang w:eastAsia="en-US"/>
        </w:rPr>
      </w:pPr>
      <w:r>
        <w:rPr>
          <w:lang w:eastAsia="en-US"/>
        </w:rPr>
        <w:lastRenderedPageBreak/>
        <w:t>ECHA will no</w:t>
      </w:r>
      <w:r w:rsidR="003771D5">
        <w:rPr>
          <w:lang w:eastAsia="en-US"/>
        </w:rPr>
        <w:t>t</w:t>
      </w:r>
      <w:r>
        <w:rPr>
          <w:lang w:eastAsia="en-US"/>
        </w:rPr>
        <w:t xml:space="preserve"> modify the </w:t>
      </w:r>
      <w:r w:rsidR="007520FC">
        <w:rPr>
          <w:lang w:eastAsia="en-US"/>
        </w:rPr>
        <w:t>sequence of tasks in R4BP3 to address the issue. The initial application will continue, but just with the products having similar uses, composition and levels of risk and efficacy. One or more new (product or product family) application(s) for authorisation should be submitted to address the part(s) of the original BPF that are no longer covered by the initial application.</w:t>
      </w:r>
    </w:p>
    <w:p w14:paraId="47AB8A59" w14:textId="77777777" w:rsidR="007520FC" w:rsidRDefault="00625270" w:rsidP="00EE6AAE">
      <w:pPr>
        <w:pStyle w:val="ListDash2"/>
        <w:rPr>
          <w:lang w:eastAsia="en-US"/>
        </w:rPr>
      </w:pPr>
      <w:r>
        <w:rPr>
          <w:lang w:eastAsia="en-US"/>
        </w:rPr>
        <w:t>To ensure equal treatment between applicants, when an</w:t>
      </w:r>
      <w:r w:rsidR="007520FC">
        <w:rPr>
          <w:lang w:eastAsia="en-US"/>
        </w:rPr>
        <w:t xml:space="preserve"> eCA would like to shorten the timelines of the new application resulting from splitting the original BPF,</w:t>
      </w:r>
      <w:r>
        <w:rPr>
          <w:lang w:eastAsia="en-US"/>
        </w:rPr>
        <w:t xml:space="preserve"> that eCA would be responsible f</w:t>
      </w:r>
      <w:r w:rsidR="007520FC">
        <w:rPr>
          <w:lang w:eastAsia="en-US"/>
        </w:rPr>
        <w:t>o</w:t>
      </w:r>
      <w:r>
        <w:rPr>
          <w:lang w:eastAsia="en-US"/>
        </w:rPr>
        <w:t>r</w:t>
      </w:r>
      <w:r w:rsidR="007520FC">
        <w:rPr>
          <w:lang w:eastAsia="en-US"/>
        </w:rPr>
        <w:t xml:space="preserve"> manag</w:t>
      </w:r>
      <w:r>
        <w:rPr>
          <w:lang w:eastAsia="en-US"/>
        </w:rPr>
        <w:t>ing</w:t>
      </w:r>
      <w:r w:rsidR="007520FC">
        <w:rPr>
          <w:lang w:eastAsia="en-US"/>
        </w:rPr>
        <w:t xml:space="preserve"> the duration of each </w:t>
      </w:r>
      <w:r>
        <w:rPr>
          <w:lang w:eastAsia="en-US"/>
        </w:rPr>
        <w:t xml:space="preserve">regulatory </w:t>
      </w:r>
      <w:r w:rsidR="007520FC">
        <w:rPr>
          <w:lang w:eastAsia="en-US"/>
        </w:rPr>
        <w:t xml:space="preserve">steps for the </w:t>
      </w:r>
      <w:r>
        <w:rPr>
          <w:lang w:eastAsia="en-US"/>
        </w:rPr>
        <w:t xml:space="preserve">processing of the </w:t>
      </w:r>
      <w:r w:rsidR="007520FC">
        <w:rPr>
          <w:lang w:eastAsia="en-US"/>
        </w:rPr>
        <w:t xml:space="preserve">new application(s). For example: </w:t>
      </w:r>
    </w:p>
    <w:p w14:paraId="1AE76475" w14:textId="77777777" w:rsidR="007520FC" w:rsidRDefault="007520FC" w:rsidP="00BA287A">
      <w:pPr>
        <w:pStyle w:val="ListBullet3Level2"/>
        <w:spacing w:after="120"/>
        <w:rPr>
          <w:lang w:eastAsia="en-US"/>
        </w:rPr>
      </w:pPr>
      <w:r>
        <w:rPr>
          <w:lang w:eastAsia="en-US"/>
        </w:rPr>
        <w:t xml:space="preserve">the validation task can be completed on the same day </w:t>
      </w:r>
      <w:r w:rsidR="00625270">
        <w:rPr>
          <w:lang w:eastAsia="en-US"/>
        </w:rPr>
        <w:t xml:space="preserve">as </w:t>
      </w:r>
      <w:r>
        <w:rPr>
          <w:lang w:eastAsia="en-US"/>
        </w:rPr>
        <w:t xml:space="preserve">the task is initiated, </w:t>
      </w:r>
    </w:p>
    <w:p w14:paraId="3A05941A" w14:textId="77777777" w:rsidR="007520FC" w:rsidRDefault="007520FC" w:rsidP="00EE6AAE">
      <w:pPr>
        <w:pStyle w:val="ListBullet2Level2"/>
        <w:rPr>
          <w:lang w:eastAsia="en-US"/>
        </w:rPr>
      </w:pPr>
      <w:r>
        <w:rPr>
          <w:lang w:eastAsia="en-US"/>
        </w:rPr>
        <w:t>the evaluation of the phys-chem properties and where relevant, other parts of the assessment of the initial application, can be handed over for the assessment of the new application(s).</w:t>
      </w:r>
    </w:p>
    <w:p w14:paraId="030F7ABF" w14:textId="77777777" w:rsidR="00047130" w:rsidRDefault="00047130" w:rsidP="00EE6AAE">
      <w:pPr>
        <w:pStyle w:val="ListNumberLevel2"/>
        <w:rPr>
          <w:lang w:eastAsia="en-US"/>
        </w:rPr>
      </w:pPr>
      <w:r w:rsidRPr="00454B08">
        <w:rPr>
          <w:b/>
          <w:lang w:eastAsia="en-US"/>
        </w:rPr>
        <w:t>T</w:t>
      </w:r>
      <w:r w:rsidR="00454B08" w:rsidRPr="00454B08">
        <w:rPr>
          <w:b/>
          <w:lang w:eastAsia="en-US"/>
        </w:rPr>
        <w:t xml:space="preserve">imelines : </w:t>
      </w:r>
      <w:r w:rsidR="00454B08">
        <w:rPr>
          <w:lang w:eastAsia="en-US"/>
        </w:rPr>
        <w:t>The following way forward was agreed:</w:t>
      </w:r>
    </w:p>
    <w:p w14:paraId="03E4A7F0" w14:textId="77777777" w:rsidR="006E67E8" w:rsidRDefault="00454B08" w:rsidP="00AD7CAA">
      <w:pPr>
        <w:pStyle w:val="ListDash2"/>
        <w:spacing w:after="120"/>
        <w:rPr>
          <w:lang w:eastAsia="en-US"/>
        </w:rPr>
      </w:pPr>
      <w:r>
        <w:rPr>
          <w:lang w:eastAsia="en-US"/>
        </w:rPr>
        <w:t>T</w:t>
      </w:r>
      <w:r w:rsidR="002317B4" w:rsidRPr="002317B4">
        <w:rPr>
          <w:lang w:eastAsia="en-US"/>
        </w:rPr>
        <w:t xml:space="preserve">he submission of the initial </w:t>
      </w:r>
      <w:r w:rsidR="006E67E8">
        <w:rPr>
          <w:lang w:eastAsia="en-US"/>
        </w:rPr>
        <w:t xml:space="preserve">BPF application </w:t>
      </w:r>
      <w:r w:rsidR="002317B4" w:rsidRPr="002317B4">
        <w:rPr>
          <w:lang w:eastAsia="en-US"/>
        </w:rPr>
        <w:t xml:space="preserve">warrants that all the existing products initially covered by that BPF can benefit from the provisions of Article 89 of the BPR regarding the transitional period.  </w:t>
      </w:r>
    </w:p>
    <w:p w14:paraId="760B5EA7" w14:textId="77777777" w:rsidR="006E67E8" w:rsidRDefault="002317B4" w:rsidP="00AD7CAA">
      <w:pPr>
        <w:pStyle w:val="ListDash2"/>
        <w:spacing w:after="120"/>
        <w:rPr>
          <w:lang w:eastAsia="en-US"/>
        </w:rPr>
      </w:pPr>
      <w:r w:rsidRPr="002317B4">
        <w:rPr>
          <w:lang w:eastAsia="en-US"/>
        </w:rPr>
        <w:t xml:space="preserve">Split product(s) that belonged to the original BPF </w:t>
      </w:r>
      <w:r w:rsidR="006E67E8">
        <w:rPr>
          <w:lang w:eastAsia="en-US"/>
        </w:rPr>
        <w:t xml:space="preserve">will continue to benefit from the </w:t>
      </w:r>
      <w:r w:rsidRPr="002317B4">
        <w:rPr>
          <w:lang w:eastAsia="en-US"/>
        </w:rPr>
        <w:t xml:space="preserve">provisions </w:t>
      </w:r>
      <w:r w:rsidR="006E67E8">
        <w:rPr>
          <w:lang w:eastAsia="en-US"/>
        </w:rPr>
        <w:t>of</w:t>
      </w:r>
      <w:r w:rsidRPr="002317B4">
        <w:rPr>
          <w:lang w:eastAsia="en-US"/>
        </w:rPr>
        <w:t xml:space="preserve"> Article 89 of the BPR:</w:t>
      </w:r>
    </w:p>
    <w:p w14:paraId="2D3B33E8" w14:textId="77777777" w:rsidR="006E67E8" w:rsidRDefault="002317B4" w:rsidP="00AD7CAA">
      <w:pPr>
        <w:pStyle w:val="ListBullet2Level2"/>
        <w:spacing w:after="120"/>
        <w:rPr>
          <w:lang w:eastAsia="en-US"/>
        </w:rPr>
      </w:pPr>
      <w:r w:rsidRPr="002317B4">
        <w:rPr>
          <w:lang w:eastAsia="en-US"/>
        </w:rPr>
        <w:t xml:space="preserve">These products will continue to be allowed to be made available on the market and used in accordance with </w:t>
      </w:r>
      <w:r w:rsidR="006E67E8">
        <w:rPr>
          <w:lang w:eastAsia="en-US"/>
        </w:rPr>
        <w:t xml:space="preserve"> national systems;</w:t>
      </w:r>
    </w:p>
    <w:p w14:paraId="53431097" w14:textId="77777777" w:rsidR="002B6D5F" w:rsidRDefault="002317B4" w:rsidP="00AD7CAA">
      <w:pPr>
        <w:pStyle w:val="ListBullet2Level2"/>
        <w:spacing w:after="120"/>
        <w:rPr>
          <w:lang w:eastAsia="en-US"/>
        </w:rPr>
      </w:pPr>
      <w:r w:rsidRPr="002317B4">
        <w:rPr>
          <w:lang w:eastAsia="en-US"/>
        </w:rPr>
        <w:t xml:space="preserve">The three-year deadline in Article 89(3) of the BPR would </w:t>
      </w:r>
      <w:r w:rsidR="006E67E8">
        <w:rPr>
          <w:lang w:eastAsia="en-US"/>
        </w:rPr>
        <w:t xml:space="preserve">start </w:t>
      </w:r>
      <w:r w:rsidRPr="002317B4">
        <w:rPr>
          <w:lang w:eastAsia="en-US"/>
        </w:rPr>
        <w:t>count</w:t>
      </w:r>
      <w:r w:rsidR="006E67E8">
        <w:rPr>
          <w:lang w:eastAsia="en-US"/>
        </w:rPr>
        <w:t>ing</w:t>
      </w:r>
      <w:r w:rsidRPr="002317B4">
        <w:rPr>
          <w:lang w:eastAsia="en-US"/>
        </w:rPr>
        <w:t xml:space="preserve"> as from the</w:t>
      </w:r>
      <w:r w:rsidR="006E67E8">
        <w:rPr>
          <w:lang w:eastAsia="en-US"/>
        </w:rPr>
        <w:t xml:space="preserve"> </w:t>
      </w:r>
      <w:r w:rsidR="000227BE">
        <w:rPr>
          <w:lang w:eastAsia="en-US"/>
        </w:rPr>
        <w:t>active substance approval date or t</w:t>
      </w:r>
      <w:r w:rsidRPr="002317B4">
        <w:rPr>
          <w:lang w:eastAsia="en-US"/>
        </w:rPr>
        <w:t xml:space="preserve">he submission of the original application where the 3 year period is over for the relevant AS or PT. </w:t>
      </w:r>
    </w:p>
    <w:p w14:paraId="4EE04B5E" w14:textId="77777777" w:rsidR="002317B4" w:rsidRDefault="002317B4" w:rsidP="009C0AB3">
      <w:pPr>
        <w:pStyle w:val="ListDash2"/>
        <w:rPr>
          <w:lang w:eastAsia="en-US"/>
        </w:rPr>
      </w:pPr>
      <w:r w:rsidRPr="002317B4">
        <w:rPr>
          <w:lang w:eastAsia="en-US"/>
        </w:rPr>
        <w:t>Applicants and eCAs will make use of their best endeavours to ensure that the split applications are handled in due time</w:t>
      </w:r>
      <w:r w:rsidR="002B6D5F">
        <w:rPr>
          <w:lang w:eastAsia="en-US"/>
        </w:rPr>
        <w:t>.</w:t>
      </w:r>
    </w:p>
    <w:p w14:paraId="0DB83F2D" w14:textId="77777777" w:rsidR="00047130" w:rsidRDefault="00D70025" w:rsidP="009C0AB3">
      <w:pPr>
        <w:pStyle w:val="ListNumberLevel2"/>
        <w:rPr>
          <w:lang w:eastAsia="en-US"/>
        </w:rPr>
      </w:pPr>
      <w:r w:rsidRPr="00D70025">
        <w:rPr>
          <w:b/>
          <w:lang w:eastAsia="en-US"/>
        </w:rPr>
        <w:t>Fees :</w:t>
      </w:r>
      <w:r>
        <w:rPr>
          <w:lang w:eastAsia="en-US"/>
        </w:rPr>
        <w:t xml:space="preserve"> The following way forward was agreed</w:t>
      </w:r>
      <w:r w:rsidR="00D424C9">
        <w:rPr>
          <w:lang w:eastAsia="en-US"/>
        </w:rPr>
        <w:t>:</w:t>
      </w:r>
    </w:p>
    <w:p w14:paraId="705C55A5" w14:textId="77777777" w:rsidR="002666FF" w:rsidRDefault="002666FF" w:rsidP="009C0AB3">
      <w:pPr>
        <w:pStyle w:val="ListDash2"/>
        <w:rPr>
          <w:lang w:eastAsia="en-US"/>
        </w:rPr>
      </w:pPr>
      <w:r>
        <w:rPr>
          <w:lang w:eastAsia="en-US"/>
        </w:rPr>
        <w:t>As mentioned above, in general, equal treatment of applicants should be ensured and there should not be an advantage for applications resulting from splitting of a BPF compared to applications where the BPF was correctly structur</w:t>
      </w:r>
      <w:r w:rsidR="008E0F63">
        <w:rPr>
          <w:lang w:eastAsia="en-US"/>
        </w:rPr>
        <w:t xml:space="preserve">ed from the beginning. However, </w:t>
      </w:r>
      <w:r>
        <w:rPr>
          <w:lang w:eastAsia="en-US"/>
        </w:rPr>
        <w:t>fees should be proportionate to cover the amount of work performed by the relevant eCA.</w:t>
      </w:r>
    </w:p>
    <w:p w14:paraId="214E92E7" w14:textId="77777777" w:rsidR="002666FF" w:rsidRDefault="002666FF" w:rsidP="00D424C9">
      <w:pPr>
        <w:pStyle w:val="ListNumber1Level2"/>
        <w:numPr>
          <w:ilvl w:val="1"/>
          <w:numId w:val="21"/>
        </w:numPr>
        <w:spacing w:after="120"/>
        <w:rPr>
          <w:lang w:eastAsia="en-US"/>
        </w:rPr>
      </w:pPr>
      <w:r>
        <w:rPr>
          <w:lang w:eastAsia="en-US"/>
        </w:rPr>
        <w:t xml:space="preserve">Fees from MSs are decided at National level. </w:t>
      </w:r>
    </w:p>
    <w:p w14:paraId="5E667A6A" w14:textId="77777777" w:rsidR="002666FF" w:rsidRDefault="002666FF" w:rsidP="00D424C9">
      <w:pPr>
        <w:pStyle w:val="ListNumber1Level2"/>
        <w:numPr>
          <w:ilvl w:val="1"/>
          <w:numId w:val="21"/>
        </w:numPr>
        <w:rPr>
          <w:lang w:eastAsia="en-US"/>
        </w:rPr>
      </w:pPr>
      <w:r>
        <w:rPr>
          <w:lang w:eastAsia="en-US"/>
        </w:rPr>
        <w:t xml:space="preserve">ECHA fees: In case of UA procedures, the fee Regulation does not foresee any reduction when a new application is submitted. A new application for a product or product family will be treated as a new application in terms of fees.  </w:t>
      </w:r>
    </w:p>
    <w:p w14:paraId="1C730DD3" w14:textId="77777777" w:rsidR="00D5064F" w:rsidRPr="00202152" w:rsidRDefault="00D5064F" w:rsidP="00E82F2A">
      <w:pPr>
        <w:pStyle w:val="ListNumber"/>
        <w:rPr>
          <w:b/>
          <w:lang w:eastAsia="en-US"/>
        </w:rPr>
      </w:pPr>
      <w:r w:rsidRPr="00D70025">
        <w:rPr>
          <w:b/>
          <w:lang w:eastAsia="en-US"/>
        </w:rPr>
        <w:lastRenderedPageBreak/>
        <w:t>Other considerations</w:t>
      </w:r>
      <w:r w:rsidR="00D70025">
        <w:rPr>
          <w:b/>
          <w:lang w:eastAsia="en-US"/>
        </w:rPr>
        <w:t xml:space="preserve"> : </w:t>
      </w:r>
      <w:r w:rsidR="00D70025" w:rsidRPr="00D70025">
        <w:rPr>
          <w:lang w:eastAsia="en-US"/>
        </w:rPr>
        <w:t>The following way forward was agreed</w:t>
      </w:r>
    </w:p>
    <w:p w14:paraId="04E61EEA" w14:textId="77777777" w:rsidR="00202152" w:rsidRDefault="00202152" w:rsidP="00E82F2A">
      <w:pPr>
        <w:pStyle w:val="ListDash2"/>
        <w:rPr>
          <w:lang w:eastAsia="en-US"/>
        </w:rPr>
      </w:pPr>
      <w:r w:rsidRPr="00202152">
        <w:rPr>
          <w:lang w:eastAsia="en-US"/>
        </w:rPr>
        <w:t xml:space="preserve">The applicant may choose the most suitable product authorisation procedure for the application of the new product(s) or product family authorisation.  </w:t>
      </w:r>
    </w:p>
    <w:p w14:paraId="2FE6D9EC" w14:textId="77777777" w:rsidR="002A1F7C" w:rsidRPr="0064295A" w:rsidRDefault="0087748B" w:rsidP="009301D6">
      <w:pPr>
        <w:pStyle w:val="ListDash2"/>
        <w:rPr>
          <w:lang w:eastAsia="en-US"/>
        </w:rPr>
      </w:pPr>
      <w:r>
        <w:rPr>
          <w:lang w:eastAsia="en-US"/>
        </w:rPr>
        <w:t>I</w:t>
      </w:r>
      <w:r w:rsidR="00202152" w:rsidRPr="00202152">
        <w:rPr>
          <w:lang w:eastAsia="en-US"/>
        </w:rPr>
        <w:t>n the case of an applicant changing from a Union authorisation (UA) procedure to a mutual recognition (M</w:t>
      </w:r>
      <w:r w:rsidR="00FD3D14">
        <w:rPr>
          <w:lang w:eastAsia="en-US"/>
        </w:rPr>
        <w:t xml:space="preserve">R) procedure (or the other way </w:t>
      </w:r>
      <w:r w:rsidR="00202152" w:rsidRPr="00202152">
        <w:rPr>
          <w:lang w:eastAsia="en-US"/>
        </w:rPr>
        <w:t>round), it is strongly recommended that the eCA/refMS for the original UA/NA application is selected as the eCA/refMS for the new procedure. This way, the new procedure(s) can benefit from the initial assessment of the original application, and, where possible, from any fee waving by the eCA/refMS</w:t>
      </w:r>
      <w:r w:rsidR="0064295A">
        <w:rPr>
          <w:lang w:eastAsia="en-US"/>
        </w:rPr>
        <w:t>.</w:t>
      </w:r>
      <w:r w:rsidR="002A1F7C">
        <w:rPr>
          <w:lang w:eastAsia="en-US"/>
        </w:rPr>
        <w:t xml:space="preserve"> </w:t>
      </w:r>
    </w:p>
    <w:p w14:paraId="4642F0C6" w14:textId="77777777" w:rsidR="004F4976" w:rsidRDefault="004F4976" w:rsidP="004F4976">
      <w:pPr>
        <w:pStyle w:val="Heading2"/>
        <w:rPr>
          <w:lang w:eastAsia="en-US"/>
        </w:rPr>
      </w:pPr>
      <w:r>
        <w:rPr>
          <w:lang w:eastAsia="en-US"/>
        </w:rPr>
        <w:t>Post-authorisation notification of new products</w:t>
      </w:r>
    </w:p>
    <w:p w14:paraId="111BC50F" w14:textId="77777777" w:rsidR="004F4976" w:rsidRPr="004F4976" w:rsidRDefault="004F4976" w:rsidP="004F4976">
      <w:pPr>
        <w:pStyle w:val="ListNumber"/>
        <w:rPr>
          <w:lang w:eastAsia="en-US"/>
        </w:rPr>
      </w:pPr>
      <w:r w:rsidRPr="004F4976">
        <w:rPr>
          <w:lang w:eastAsia="en-US"/>
        </w:rPr>
        <w:t>In accordance with Article 17(6) of the BPR, the authorisation holder (AH) shall notify (through the R4BP3) each CA that has granted a national authorisation for a BPF of each product within that family at least 30 days before placing it on the market, except where:</w:t>
      </w:r>
    </w:p>
    <w:p w14:paraId="71637DDA" w14:textId="77777777" w:rsidR="004F4976" w:rsidRPr="004F4976" w:rsidRDefault="004F4976" w:rsidP="009D0712">
      <w:pPr>
        <w:pStyle w:val="ListNumber1Level2"/>
        <w:numPr>
          <w:ilvl w:val="1"/>
          <w:numId w:val="36"/>
        </w:numPr>
        <w:spacing w:after="120"/>
        <w:rPr>
          <w:lang w:eastAsia="en-US"/>
        </w:rPr>
      </w:pPr>
      <w:r w:rsidRPr="004F4976">
        <w:rPr>
          <w:lang w:eastAsia="en-US"/>
        </w:rPr>
        <w:t>A particular product is explicitly identified in the BPF authorisation</w:t>
      </w:r>
      <w:r w:rsidRPr="004F4976">
        <w:rPr>
          <w:vertAlign w:val="superscript"/>
          <w:lang w:eastAsia="en-US"/>
        </w:rPr>
        <w:footnoteReference w:id="31"/>
      </w:r>
      <w:r w:rsidRPr="004F4976">
        <w:rPr>
          <w:lang w:eastAsia="en-US"/>
        </w:rPr>
        <w:t xml:space="preserve"> or,</w:t>
      </w:r>
    </w:p>
    <w:p w14:paraId="10E01740" w14:textId="77777777" w:rsidR="004F4976" w:rsidRPr="004F4976" w:rsidRDefault="004F4976" w:rsidP="00F22DDF">
      <w:pPr>
        <w:pStyle w:val="ListNumber1Level2"/>
        <w:spacing w:after="120"/>
        <w:rPr>
          <w:lang w:eastAsia="en-US"/>
        </w:rPr>
      </w:pPr>
      <w:r w:rsidRPr="004F4976">
        <w:rPr>
          <w:lang w:eastAsia="en-US"/>
        </w:rPr>
        <w:t xml:space="preserve">The variation in composition concerns only pigments, perfumes and dyes within the permitted variations in the BPF authorisation. </w:t>
      </w:r>
    </w:p>
    <w:p w14:paraId="7FE899E2" w14:textId="77777777" w:rsidR="004F4976" w:rsidRPr="004F4976" w:rsidRDefault="004F4976" w:rsidP="00820330">
      <w:pPr>
        <w:pStyle w:val="ListNumber"/>
        <w:rPr>
          <w:lang w:eastAsia="en-US"/>
        </w:rPr>
      </w:pPr>
      <w:r w:rsidRPr="004F4976">
        <w:rPr>
          <w:lang w:eastAsia="en-US"/>
        </w:rPr>
        <w:t xml:space="preserve">In line with Article 17(6), it is proposed that the notification shall </w:t>
      </w:r>
      <w:r w:rsidRPr="004F4976">
        <w:rPr>
          <w:u w:val="single"/>
          <w:lang w:eastAsia="en-US"/>
        </w:rPr>
        <w:t>only</w:t>
      </w:r>
      <w:r w:rsidRPr="004F4976">
        <w:rPr>
          <w:lang w:eastAsia="en-US"/>
        </w:rPr>
        <w:t xml:space="preserve"> indicate the exact composition and trade name of the product, as well as the suffix to the authorisation number (i.e. already including the BPF identifier and the </w:t>
      </w:r>
      <w:r w:rsidRPr="004F4976">
        <w:rPr>
          <w:i/>
          <w:lang w:eastAsia="en-US"/>
        </w:rPr>
        <w:t>meta</w:t>
      </w:r>
      <w:r w:rsidR="00871373">
        <w:rPr>
          <w:lang w:eastAsia="en-US"/>
        </w:rPr>
        <w:t>-</w:t>
      </w:r>
      <w:r w:rsidRPr="004F4976">
        <w:rPr>
          <w:lang w:eastAsia="en-US"/>
        </w:rPr>
        <w:t xml:space="preserve">SPC suffix). </w:t>
      </w:r>
    </w:p>
    <w:p w14:paraId="196476AE" w14:textId="77777777" w:rsidR="004F4976" w:rsidRPr="004F4976" w:rsidRDefault="004F4976" w:rsidP="00744171">
      <w:pPr>
        <w:pStyle w:val="ListNumber"/>
        <w:numPr>
          <w:ilvl w:val="0"/>
          <w:numId w:val="0"/>
        </w:numPr>
        <w:ind w:left="992"/>
        <w:rPr>
          <w:lang w:eastAsia="en-US"/>
        </w:rPr>
      </w:pPr>
      <w:r w:rsidRPr="004F4976">
        <w:rPr>
          <w:lang w:eastAsia="en-US"/>
        </w:rPr>
        <w:t>For th</w:t>
      </w:r>
      <w:r w:rsidR="00744171">
        <w:rPr>
          <w:lang w:eastAsia="en-US"/>
        </w:rPr>
        <w:t>at</w:t>
      </w:r>
      <w:r w:rsidRPr="004F4976">
        <w:rPr>
          <w:lang w:eastAsia="en-US"/>
        </w:rPr>
        <w:t xml:space="preserve"> purpose, it is </w:t>
      </w:r>
      <w:r w:rsidRPr="004F4976">
        <w:rPr>
          <w:u w:val="single"/>
          <w:lang w:eastAsia="en-US"/>
        </w:rPr>
        <w:t>essential</w:t>
      </w:r>
      <w:r w:rsidRPr="004F4976">
        <w:rPr>
          <w:lang w:eastAsia="en-US"/>
        </w:rPr>
        <w:t xml:space="preserve"> that the notification clearly identifies the </w:t>
      </w:r>
      <w:r w:rsidRPr="004F4976">
        <w:rPr>
          <w:i/>
          <w:lang w:eastAsia="en-US"/>
        </w:rPr>
        <w:t>meta</w:t>
      </w:r>
      <w:r w:rsidR="00871373">
        <w:rPr>
          <w:lang w:eastAsia="en-US"/>
        </w:rPr>
        <w:t>-</w:t>
      </w:r>
      <w:r w:rsidRPr="004F4976">
        <w:rPr>
          <w:lang w:eastAsia="en-US"/>
        </w:rPr>
        <w:t>SPC to which the product belongs</w:t>
      </w:r>
      <w:r w:rsidRPr="004F4976">
        <w:rPr>
          <w:vertAlign w:val="superscript"/>
          <w:lang w:eastAsia="en-US"/>
        </w:rPr>
        <w:footnoteReference w:id="32"/>
      </w:r>
      <w:r w:rsidRPr="004F4976">
        <w:rPr>
          <w:lang w:eastAsia="en-US"/>
        </w:rPr>
        <w:t>.</w:t>
      </w:r>
    </w:p>
    <w:p w14:paraId="3E29A330" w14:textId="3E3CBAA9" w:rsidR="004F4976" w:rsidRPr="004F4976" w:rsidRDefault="004F4976" w:rsidP="00B57FF3">
      <w:pPr>
        <w:pStyle w:val="ListNumber"/>
        <w:rPr>
          <w:lang w:eastAsia="en-US"/>
        </w:rPr>
      </w:pPr>
      <w:r w:rsidRPr="004F4976">
        <w:rPr>
          <w:lang w:eastAsia="en-US"/>
        </w:rPr>
        <w:t>A</w:t>
      </w:r>
      <w:r w:rsidR="00113373">
        <w:rPr>
          <w:lang w:eastAsia="en-US"/>
        </w:rPr>
        <w:t>uthorisation holders</w:t>
      </w:r>
      <w:r w:rsidRPr="004F4976">
        <w:rPr>
          <w:lang w:eastAsia="en-US"/>
        </w:rPr>
        <w:t xml:space="preserve"> may support CAs by providing with the notification a draft “product-specific SPC”</w:t>
      </w:r>
      <w:r w:rsidR="00C26035">
        <w:rPr>
          <w:rStyle w:val="FootnoteReference"/>
          <w:lang w:eastAsia="en-US"/>
        </w:rPr>
        <w:footnoteReference w:id="33"/>
      </w:r>
      <w:r w:rsidRPr="004F4976">
        <w:rPr>
          <w:lang w:eastAsia="en-US"/>
        </w:rPr>
        <w:t>, which should be checked by CAs before making it available in the R4BP3 for dissemination purposes.</w:t>
      </w:r>
    </w:p>
    <w:p w14:paraId="5E664832" w14:textId="77777777" w:rsidR="004F4976" w:rsidRPr="004F4976" w:rsidRDefault="004F4976" w:rsidP="00B57FF3">
      <w:pPr>
        <w:pStyle w:val="ListNumber"/>
        <w:rPr>
          <w:lang w:eastAsia="en-US"/>
        </w:rPr>
      </w:pPr>
      <w:r w:rsidRPr="004F4976">
        <w:rPr>
          <w:lang w:eastAsia="en-US"/>
        </w:rPr>
        <w:t xml:space="preserve">Where a CA does not object to the notification within the 30-day period referred to in Article 17(6) of the BPR,  that CA will have to: </w:t>
      </w:r>
    </w:p>
    <w:p w14:paraId="14EC8540" w14:textId="77777777" w:rsidR="004F4976" w:rsidRPr="004F4976" w:rsidRDefault="004F4976" w:rsidP="009D0712">
      <w:pPr>
        <w:pStyle w:val="ListNumber1Level2"/>
        <w:numPr>
          <w:ilvl w:val="1"/>
          <w:numId w:val="37"/>
        </w:numPr>
        <w:spacing w:after="120"/>
        <w:rPr>
          <w:lang w:eastAsia="en-US"/>
        </w:rPr>
      </w:pPr>
      <w:r w:rsidRPr="004F4976">
        <w:rPr>
          <w:lang w:eastAsia="en-US"/>
        </w:rPr>
        <w:t xml:space="preserve">Update the “BPF SPC” by adding to the third level information the new product details (e.g. trade name(s), specific composition within the </w:t>
      </w:r>
      <w:r w:rsidRPr="00B57FF3">
        <w:rPr>
          <w:i/>
          <w:lang w:eastAsia="en-US"/>
        </w:rPr>
        <w:t>meta</w:t>
      </w:r>
      <w:r w:rsidR="00FF3D73">
        <w:rPr>
          <w:i/>
          <w:lang w:eastAsia="en-US"/>
        </w:rPr>
        <w:t>-</w:t>
      </w:r>
      <w:r w:rsidRPr="004F4976">
        <w:rPr>
          <w:lang w:eastAsia="en-US"/>
        </w:rPr>
        <w:t>SPC ranges and authorisation number) and,</w:t>
      </w:r>
    </w:p>
    <w:p w14:paraId="50C0AEFB" w14:textId="77777777" w:rsidR="004F4976" w:rsidRDefault="004F4976" w:rsidP="00F22DDF">
      <w:pPr>
        <w:pStyle w:val="ListNumber1Level2"/>
        <w:spacing w:after="120"/>
        <w:rPr>
          <w:lang w:eastAsia="en-US"/>
        </w:rPr>
      </w:pPr>
      <w:r w:rsidRPr="004F4976">
        <w:rPr>
          <w:lang w:eastAsia="en-US"/>
        </w:rPr>
        <w:lastRenderedPageBreak/>
        <w:t xml:space="preserve">Make the “product-specific SPC”, as provided by the applicant and reviewed by the CA, available in the R4BP3 for dissemination purposes. </w:t>
      </w:r>
    </w:p>
    <w:p w14:paraId="0B05BF02" w14:textId="1F2A5AB7" w:rsidR="00E33A2F" w:rsidRDefault="00E33A2F" w:rsidP="00E33A2F">
      <w:pPr>
        <w:pStyle w:val="ListNumber"/>
        <w:rPr>
          <w:lang w:eastAsia="en-US"/>
        </w:rPr>
      </w:pPr>
      <w:r>
        <w:rPr>
          <w:lang w:eastAsia="en-US"/>
        </w:rPr>
        <w:t xml:space="preserve">Changes to the concentration of pigments, perfumes and dyes (PPDs) </w:t>
      </w:r>
      <w:r w:rsidR="00295B2A">
        <w:rPr>
          <w:lang w:eastAsia="en-US"/>
        </w:rPr>
        <w:t xml:space="preserve">within the authorized composition ranges of the relevant meta-SPC </w:t>
      </w:r>
      <w:r>
        <w:rPr>
          <w:lang w:eastAsia="en-US"/>
        </w:rPr>
        <w:t>are allowed</w:t>
      </w:r>
      <w:r w:rsidR="00295B2A">
        <w:rPr>
          <w:lang w:eastAsia="en-US"/>
        </w:rPr>
        <w:t xml:space="preserve"> provided that they only concerns PPDs i.e. that the changes do not affect the concentration of other co-formulants including water.</w:t>
      </w:r>
    </w:p>
    <w:p w14:paraId="767D71CF" w14:textId="77777777" w:rsidR="00004873" w:rsidRDefault="00004873" w:rsidP="00E33A2F">
      <w:pPr>
        <w:pStyle w:val="ListNumber"/>
        <w:rPr>
          <w:lang w:eastAsia="en-US"/>
        </w:rPr>
      </w:pPr>
      <w:r>
        <w:rPr>
          <w:lang w:eastAsia="en-US"/>
        </w:rPr>
        <w:t xml:space="preserve">Where an individual product of a BPF is subject to a change in PPDs not requiring notifications, the product resulting from such a change shall be placed on the market with the same authorisation number as the </w:t>
      </w:r>
      <w:r w:rsidR="00E43C63">
        <w:rPr>
          <w:lang w:eastAsia="en-US"/>
        </w:rPr>
        <w:t>initial product. The same applies for the trade name, unless two or more different trade names have been allocated to the initial product and the applicant decides to place the product resulting from the change on the market with a different name.</w:t>
      </w:r>
    </w:p>
    <w:p w14:paraId="45841A58" w14:textId="77777777" w:rsidR="00C26035" w:rsidRDefault="00C26035" w:rsidP="009301D6">
      <w:pPr>
        <w:pStyle w:val="ListNumber"/>
        <w:numPr>
          <w:ilvl w:val="0"/>
          <w:numId w:val="0"/>
        </w:numPr>
        <w:ind w:left="992"/>
        <w:rPr>
          <w:lang w:eastAsia="en-US"/>
        </w:rPr>
      </w:pPr>
      <w:r>
        <w:rPr>
          <w:lang w:eastAsia="en-US"/>
        </w:rPr>
        <w:t>When a product resulting from the change application is accepted by the evaluating competent authority, the new product should be listed in the amended SPC of the BPF authorisation and no further notification is required.</w:t>
      </w:r>
    </w:p>
    <w:p w14:paraId="77F37D74" w14:textId="77777777" w:rsidR="0085556B" w:rsidRPr="004F4976" w:rsidRDefault="0085556B" w:rsidP="0085556B">
      <w:pPr>
        <w:pStyle w:val="ListNumber"/>
        <w:rPr>
          <w:lang w:eastAsia="en-US"/>
        </w:rPr>
      </w:pPr>
      <w:r>
        <w:rPr>
          <w:lang w:eastAsia="en-US"/>
        </w:rPr>
        <w:t>This note contains an Annex VII which provides an overview of the approach to group biocidal product into a biocidal product family.</w:t>
      </w:r>
    </w:p>
    <w:p w14:paraId="5320C306" w14:textId="77777777" w:rsidR="0063596C" w:rsidRDefault="0063596C" w:rsidP="00526BF1">
      <w:pPr>
        <w:pStyle w:val="Heading1"/>
        <w:rPr>
          <w:lang w:eastAsia="en-US"/>
        </w:rPr>
      </w:pPr>
      <w:r>
        <w:rPr>
          <w:lang w:eastAsia="en-US"/>
        </w:rPr>
        <w:t>Applicability of the WG recommendations</w:t>
      </w:r>
    </w:p>
    <w:p w14:paraId="72E021D9" w14:textId="62AD0B99" w:rsidR="00197580" w:rsidRDefault="0072512F" w:rsidP="00ED2226">
      <w:pPr>
        <w:pStyle w:val="ListNumber"/>
        <w:rPr>
          <w:lang w:eastAsia="en-US"/>
        </w:rPr>
      </w:pPr>
      <w:r w:rsidRPr="00197580">
        <w:rPr>
          <w:lang w:eastAsia="en-US"/>
        </w:rPr>
        <w:t>Applicant</w:t>
      </w:r>
      <w:r w:rsidR="001955A0" w:rsidRPr="00197580">
        <w:rPr>
          <w:lang w:eastAsia="en-US"/>
        </w:rPr>
        <w:t xml:space="preserve">s </w:t>
      </w:r>
      <w:r w:rsidRPr="00197580">
        <w:rPr>
          <w:lang w:eastAsia="en-US"/>
        </w:rPr>
        <w:t xml:space="preserve">and competent authorities shall apply this </w:t>
      </w:r>
      <w:r w:rsidR="001955A0" w:rsidRPr="00197580">
        <w:rPr>
          <w:lang w:eastAsia="en-US"/>
        </w:rPr>
        <w:t xml:space="preserve">guidance note </w:t>
      </w:r>
      <w:r w:rsidRPr="00197580">
        <w:rPr>
          <w:lang w:eastAsia="en-US"/>
        </w:rPr>
        <w:t>to new applicati</w:t>
      </w:r>
      <w:r w:rsidR="007733E8" w:rsidRPr="00197580">
        <w:rPr>
          <w:lang w:eastAsia="en-US"/>
        </w:rPr>
        <w:t>o</w:t>
      </w:r>
      <w:r w:rsidRPr="00197580">
        <w:rPr>
          <w:lang w:eastAsia="en-US"/>
        </w:rPr>
        <w:t xml:space="preserve">ns </w:t>
      </w:r>
      <w:r w:rsidR="00197580">
        <w:rPr>
          <w:lang w:eastAsia="en-US"/>
        </w:rPr>
        <w:t xml:space="preserve">submitted </w:t>
      </w:r>
      <w:r w:rsidRPr="00197580">
        <w:rPr>
          <w:lang w:eastAsia="en-US"/>
        </w:rPr>
        <w:t xml:space="preserve">for BPF authorisation as of </w:t>
      </w:r>
      <w:r w:rsidR="00DC175E" w:rsidRPr="00197580">
        <w:rPr>
          <w:lang w:eastAsia="en-US"/>
        </w:rPr>
        <w:t>01/10</w:t>
      </w:r>
      <w:r w:rsidRPr="00197580">
        <w:rPr>
          <w:lang w:eastAsia="en-US"/>
        </w:rPr>
        <w:t xml:space="preserve"> 2019. </w:t>
      </w:r>
      <w:r w:rsidR="001650D2">
        <w:rPr>
          <w:lang w:eastAsia="en-US"/>
        </w:rPr>
        <w:t>This guidance could be applied for applications submitted before that date if the applicants agree.</w:t>
      </w:r>
    </w:p>
    <w:p w14:paraId="6ED4431A" w14:textId="77777777" w:rsidR="0063596C" w:rsidRPr="00197580" w:rsidRDefault="007B1161" w:rsidP="00197580">
      <w:pPr>
        <w:pStyle w:val="ListNumber"/>
        <w:numPr>
          <w:ilvl w:val="0"/>
          <w:numId w:val="0"/>
        </w:numPr>
        <w:ind w:left="992"/>
        <w:rPr>
          <w:color w:val="FF0000"/>
          <w:lang w:eastAsia="en-US"/>
        </w:rPr>
      </w:pPr>
      <w:r w:rsidRPr="00197580">
        <w:rPr>
          <w:color w:val="000000" w:themeColor="text1"/>
          <w:lang w:eastAsia="en-US"/>
        </w:rPr>
        <w:t xml:space="preserve">The note for guidance note of 2014 is repealed as from that date. </w:t>
      </w:r>
    </w:p>
    <w:p w14:paraId="1188B2BB" w14:textId="77777777" w:rsidR="00526BF1" w:rsidRDefault="00526BF1" w:rsidP="00526BF1">
      <w:pPr>
        <w:pStyle w:val="Heading1"/>
        <w:rPr>
          <w:lang w:eastAsia="en-US"/>
        </w:rPr>
      </w:pPr>
      <w:r>
        <w:rPr>
          <w:lang w:eastAsia="en-US"/>
        </w:rPr>
        <w:t>Annexes</w:t>
      </w:r>
    </w:p>
    <w:p w14:paraId="443D7C96" w14:textId="77777777" w:rsidR="0079475D" w:rsidRDefault="0079475D" w:rsidP="0079475D">
      <w:pPr>
        <w:pStyle w:val="Text1"/>
        <w:rPr>
          <w:lang w:eastAsia="en-US"/>
        </w:rPr>
        <w:sectPr w:rsidR="0079475D">
          <w:pgSz w:w="11906" w:h="16838"/>
          <w:pgMar w:top="1020" w:right="1701" w:bottom="1020" w:left="1587" w:header="601" w:footer="1077" w:gutter="0"/>
          <w:cols w:space="720"/>
          <w:titlePg/>
          <w:docGrid w:linePitch="326"/>
        </w:sectPr>
      </w:pPr>
    </w:p>
    <w:p w14:paraId="05E1595E" w14:textId="77777777" w:rsidR="0079475D" w:rsidRPr="009941E3" w:rsidRDefault="0079475D" w:rsidP="00ED7CC5">
      <w:pPr>
        <w:pStyle w:val="PartTitle"/>
        <w:rPr>
          <w:sz w:val="28"/>
          <w:szCs w:val="28"/>
          <w:lang w:eastAsia="en-US"/>
        </w:rPr>
      </w:pPr>
      <w:r w:rsidRPr="009941E3">
        <w:rPr>
          <w:sz w:val="28"/>
          <w:szCs w:val="28"/>
          <w:lang w:eastAsia="en-US"/>
        </w:rPr>
        <w:lastRenderedPageBreak/>
        <w:t>Annex I</w:t>
      </w:r>
    </w:p>
    <w:p w14:paraId="312E1A94" w14:textId="77777777" w:rsidR="000B5044" w:rsidRPr="001A74B3" w:rsidRDefault="000B5044" w:rsidP="0079475D">
      <w:pPr>
        <w:pStyle w:val="Text1"/>
        <w:jc w:val="center"/>
        <w:rPr>
          <w:b/>
          <w:sz w:val="28"/>
          <w:szCs w:val="28"/>
          <w:lang w:eastAsia="en-US"/>
        </w:rPr>
      </w:pPr>
      <w:r w:rsidRPr="001A74B3">
        <w:rPr>
          <w:b/>
          <w:sz w:val="28"/>
          <w:szCs w:val="28"/>
          <w:lang w:eastAsia="en-US"/>
        </w:rPr>
        <w:t>Gradual approach for preparing a pre-submission meeting</w:t>
      </w:r>
    </w:p>
    <w:p w14:paraId="50BE78C8" w14:textId="77777777" w:rsidR="000D1F7C" w:rsidRDefault="000D1F7C" w:rsidP="000D1F7C">
      <w:pPr>
        <w:pStyle w:val="Heading1"/>
        <w:numPr>
          <w:ilvl w:val="0"/>
          <w:numId w:val="0"/>
        </w:numPr>
        <w:ind w:left="482"/>
        <w:rPr>
          <w:lang w:eastAsia="en-US"/>
        </w:rPr>
      </w:pPr>
      <w:r>
        <w:rPr>
          <w:lang w:eastAsia="en-US"/>
        </w:rPr>
        <w:t>Step 1 –</w:t>
      </w:r>
      <w:r w:rsidR="004B2CE5">
        <w:rPr>
          <w:lang w:eastAsia="en-US"/>
        </w:rPr>
        <w:t xml:space="preserve"> Contacts by the applicant and e</w:t>
      </w:r>
      <w:r>
        <w:rPr>
          <w:lang w:eastAsia="en-US"/>
        </w:rPr>
        <w:t xml:space="preserve">CA agreement  </w:t>
      </w:r>
    </w:p>
    <w:p w14:paraId="362C6267" w14:textId="77777777" w:rsidR="000D1F7C" w:rsidRDefault="00451A64" w:rsidP="002C534D">
      <w:pPr>
        <w:pStyle w:val="ListNumber"/>
        <w:rPr>
          <w:lang w:eastAsia="en-US"/>
        </w:rPr>
      </w:pPr>
      <w:r>
        <w:rPr>
          <w:lang w:eastAsia="en-US"/>
        </w:rPr>
        <w:t>T</w:t>
      </w:r>
      <w:r w:rsidR="000D1F7C">
        <w:rPr>
          <w:lang w:eastAsia="en-US"/>
        </w:rPr>
        <w:t>he applicant can approach several CA</w:t>
      </w:r>
      <w:r>
        <w:rPr>
          <w:lang w:eastAsia="en-US"/>
        </w:rPr>
        <w:t>s</w:t>
      </w:r>
      <w:r w:rsidR="000D1F7C">
        <w:rPr>
          <w:lang w:eastAsia="en-US"/>
        </w:rPr>
        <w:t xml:space="preserve"> and </w:t>
      </w:r>
      <w:r>
        <w:rPr>
          <w:lang w:eastAsia="en-US"/>
        </w:rPr>
        <w:t xml:space="preserve">request </w:t>
      </w:r>
      <w:r w:rsidR="000D1F7C">
        <w:rPr>
          <w:lang w:eastAsia="en-US"/>
        </w:rPr>
        <w:t xml:space="preserve">a meeting. These contacts should start as soon as possible, and not later than 18 months before the expected date/deadline </w:t>
      </w:r>
      <w:r w:rsidR="009941E3">
        <w:rPr>
          <w:lang w:eastAsia="en-US"/>
        </w:rPr>
        <w:t>for</w:t>
      </w:r>
      <w:r w:rsidR="000D1F7C">
        <w:rPr>
          <w:lang w:eastAsia="en-US"/>
        </w:rPr>
        <w:t xml:space="preserve"> the submission of the application. </w:t>
      </w:r>
    </w:p>
    <w:p w14:paraId="5FC7E9C6" w14:textId="77777777" w:rsidR="000D1F7C" w:rsidRDefault="00451A64" w:rsidP="002C534D">
      <w:pPr>
        <w:pStyle w:val="ListNumber"/>
        <w:rPr>
          <w:lang w:eastAsia="en-US"/>
        </w:rPr>
      </w:pPr>
      <w:r>
        <w:rPr>
          <w:lang w:eastAsia="en-US"/>
        </w:rPr>
        <w:t xml:space="preserve">Once a CA has accepted to meet the applicant, </w:t>
      </w:r>
      <w:r w:rsidR="00052248">
        <w:rPr>
          <w:lang w:eastAsia="en-US"/>
        </w:rPr>
        <w:t>the meeting should be</w:t>
      </w:r>
      <w:r>
        <w:rPr>
          <w:lang w:eastAsia="en-US"/>
        </w:rPr>
        <w:t xml:space="preserve"> </w:t>
      </w:r>
      <w:r w:rsidR="004B2CE5">
        <w:rPr>
          <w:lang w:eastAsia="en-US"/>
        </w:rPr>
        <w:t>s</w:t>
      </w:r>
      <w:r w:rsidR="000D1F7C">
        <w:rPr>
          <w:lang w:eastAsia="en-US"/>
        </w:rPr>
        <w:t>chedule</w:t>
      </w:r>
      <w:r w:rsidR="00052248">
        <w:rPr>
          <w:lang w:eastAsia="en-US"/>
        </w:rPr>
        <w:t>d</w:t>
      </w:r>
      <w:r>
        <w:rPr>
          <w:lang w:eastAsia="en-US"/>
        </w:rPr>
        <w:t xml:space="preserve"> rapidly</w:t>
      </w:r>
      <w:r w:rsidR="000D1F7C">
        <w:rPr>
          <w:lang w:eastAsia="en-US"/>
        </w:rPr>
        <w:t xml:space="preserve"> so </w:t>
      </w:r>
      <w:r>
        <w:rPr>
          <w:lang w:eastAsia="en-US"/>
        </w:rPr>
        <w:t xml:space="preserve">that </w:t>
      </w:r>
      <w:r w:rsidR="00052248">
        <w:rPr>
          <w:lang w:eastAsia="en-US"/>
        </w:rPr>
        <w:t>the applicant</w:t>
      </w:r>
      <w:r w:rsidR="000D1F7C">
        <w:rPr>
          <w:lang w:eastAsia="en-US"/>
        </w:rPr>
        <w:t xml:space="preserve"> has</w:t>
      </w:r>
      <w:r>
        <w:rPr>
          <w:lang w:eastAsia="en-US"/>
        </w:rPr>
        <w:t xml:space="preserve"> still</w:t>
      </w:r>
      <w:r w:rsidR="000D1F7C">
        <w:rPr>
          <w:lang w:eastAsia="en-US"/>
        </w:rPr>
        <w:t xml:space="preserve"> </w:t>
      </w:r>
      <w:r>
        <w:rPr>
          <w:lang w:eastAsia="en-US"/>
        </w:rPr>
        <w:t xml:space="preserve">enough </w:t>
      </w:r>
      <w:r w:rsidR="000D1F7C">
        <w:rPr>
          <w:lang w:eastAsia="en-US"/>
        </w:rPr>
        <w:t xml:space="preserve">time to contact and set up </w:t>
      </w:r>
      <w:r>
        <w:rPr>
          <w:lang w:eastAsia="en-US"/>
        </w:rPr>
        <w:t xml:space="preserve">pre-submission </w:t>
      </w:r>
      <w:r w:rsidR="000D1F7C">
        <w:rPr>
          <w:lang w:eastAsia="en-US"/>
        </w:rPr>
        <w:t xml:space="preserve">meetings with </w:t>
      </w:r>
      <w:r>
        <w:rPr>
          <w:lang w:eastAsia="en-US"/>
        </w:rPr>
        <w:t>an</w:t>
      </w:r>
      <w:r w:rsidR="000D1F7C">
        <w:rPr>
          <w:lang w:eastAsia="en-US"/>
        </w:rPr>
        <w:t xml:space="preserve">other CA if the contacted CA is not willing to act as </w:t>
      </w:r>
      <w:r w:rsidR="004B2CE5">
        <w:rPr>
          <w:lang w:eastAsia="en-US"/>
        </w:rPr>
        <w:t>e</w:t>
      </w:r>
      <w:r w:rsidR="000D1F7C">
        <w:rPr>
          <w:lang w:eastAsia="en-US"/>
        </w:rPr>
        <w:t xml:space="preserve">CA.  The applicant should strive </w:t>
      </w:r>
      <w:r>
        <w:rPr>
          <w:lang w:eastAsia="en-US"/>
        </w:rPr>
        <w:t xml:space="preserve">to obtain </w:t>
      </w:r>
      <w:r w:rsidR="000D1F7C">
        <w:rPr>
          <w:lang w:eastAsia="en-US"/>
        </w:rPr>
        <w:t>a signed CA agreement</w:t>
      </w:r>
      <w:r w:rsidR="000D1F7C" w:rsidRPr="000D1F7C">
        <w:rPr>
          <w:lang w:eastAsia="en-US"/>
        </w:rPr>
        <w:t xml:space="preserve"> </w:t>
      </w:r>
      <w:r w:rsidR="000D1F7C">
        <w:rPr>
          <w:lang w:eastAsia="en-US"/>
        </w:rPr>
        <w:t>at the latest 1 year before the expected date/deadline for the submission of the application.</w:t>
      </w:r>
    </w:p>
    <w:p w14:paraId="13604166" w14:textId="77777777" w:rsidR="000D1F7C" w:rsidRDefault="0068294C" w:rsidP="002C534D">
      <w:pPr>
        <w:pStyle w:val="ListNumber"/>
        <w:rPr>
          <w:lang w:eastAsia="en-US"/>
        </w:rPr>
      </w:pPr>
      <w:r>
        <w:rPr>
          <w:lang w:eastAsia="en-US"/>
        </w:rPr>
        <w:t>A</w:t>
      </w:r>
      <w:r w:rsidR="000D1F7C">
        <w:rPr>
          <w:lang w:eastAsia="en-US"/>
        </w:rPr>
        <w:t xml:space="preserve"> first meeting should </w:t>
      </w:r>
      <w:r>
        <w:rPr>
          <w:lang w:eastAsia="en-US"/>
        </w:rPr>
        <w:t xml:space="preserve">concentrate on </w:t>
      </w:r>
      <w:r w:rsidR="000D1F7C">
        <w:rPr>
          <w:lang w:eastAsia="en-US"/>
        </w:rPr>
        <w:t>a presentation of the BPF by the applicant, including a minimum of information concerning the structure</w:t>
      </w:r>
      <w:r w:rsidR="009B1A2A">
        <w:rPr>
          <w:rStyle w:val="FootnoteReference"/>
          <w:lang w:eastAsia="en-US"/>
        </w:rPr>
        <w:footnoteReference w:id="34"/>
      </w:r>
      <w:r w:rsidR="000D1F7C">
        <w:rPr>
          <w:lang w:eastAsia="en-US"/>
        </w:rPr>
        <w:t xml:space="preserve"> as well as other relevant information</w:t>
      </w:r>
      <w:r w:rsidR="009B1A2A">
        <w:rPr>
          <w:rStyle w:val="FootnoteReference"/>
          <w:lang w:eastAsia="en-US"/>
        </w:rPr>
        <w:footnoteReference w:id="35"/>
      </w:r>
      <w:r w:rsidR="000D1F7C">
        <w:rPr>
          <w:lang w:eastAsia="en-US"/>
        </w:rPr>
        <w:t xml:space="preserve">. This information should be submitted to the approached CA at the latest </w:t>
      </w:r>
      <w:r w:rsidR="002C7C2E">
        <w:rPr>
          <w:lang w:eastAsia="en-US"/>
        </w:rPr>
        <w:t>2</w:t>
      </w:r>
      <w:r w:rsidR="000D1F7C">
        <w:rPr>
          <w:lang w:eastAsia="en-US"/>
        </w:rPr>
        <w:t xml:space="preserve"> week</w:t>
      </w:r>
      <w:r w:rsidR="002C7C2E">
        <w:rPr>
          <w:lang w:eastAsia="en-US"/>
        </w:rPr>
        <w:t>s</w:t>
      </w:r>
      <w:r w:rsidR="000D1F7C">
        <w:rPr>
          <w:lang w:eastAsia="en-US"/>
        </w:rPr>
        <w:t xml:space="preserve"> before the meeting date. </w:t>
      </w:r>
    </w:p>
    <w:p w14:paraId="6EB9B22E" w14:textId="77777777" w:rsidR="000D1F7C" w:rsidRDefault="009B1A2A" w:rsidP="002C534D">
      <w:pPr>
        <w:pStyle w:val="ListNumber"/>
        <w:rPr>
          <w:lang w:eastAsia="en-US"/>
        </w:rPr>
      </w:pPr>
      <w:r>
        <w:rPr>
          <w:lang w:eastAsia="en-US"/>
        </w:rPr>
        <w:t>T</w:t>
      </w:r>
      <w:r w:rsidR="000D1F7C">
        <w:rPr>
          <w:lang w:eastAsia="en-US"/>
        </w:rPr>
        <w:t xml:space="preserve">he CA should then inform </w:t>
      </w:r>
      <w:r>
        <w:rPr>
          <w:lang w:eastAsia="en-US"/>
        </w:rPr>
        <w:t>the applicant</w:t>
      </w:r>
      <w:r w:rsidR="00052248">
        <w:rPr>
          <w:lang w:eastAsia="en-US"/>
        </w:rPr>
        <w:t xml:space="preserve"> (</w:t>
      </w:r>
      <w:r w:rsidR="0051030B">
        <w:rPr>
          <w:lang w:eastAsia="en-US"/>
        </w:rPr>
        <w:t xml:space="preserve">e.g. </w:t>
      </w:r>
      <w:r w:rsidR="002E0F64">
        <w:rPr>
          <w:lang w:eastAsia="en-US"/>
        </w:rPr>
        <w:t>n</w:t>
      </w:r>
      <w:r w:rsidR="0051030B">
        <w:rPr>
          <w:lang w:eastAsia="en-US"/>
        </w:rPr>
        <w:t>o</w:t>
      </w:r>
      <w:r>
        <w:rPr>
          <w:lang w:eastAsia="en-US"/>
        </w:rPr>
        <w:t xml:space="preserve"> later than 2 weeks</w:t>
      </w:r>
      <w:r w:rsidR="00052248">
        <w:rPr>
          <w:lang w:eastAsia="en-US"/>
        </w:rPr>
        <w:t>)</w:t>
      </w:r>
      <w:r>
        <w:rPr>
          <w:lang w:eastAsia="en-US"/>
        </w:rPr>
        <w:t xml:space="preserve"> after the meeting of its</w:t>
      </w:r>
      <w:r w:rsidR="000D1F7C">
        <w:rPr>
          <w:lang w:eastAsia="en-US"/>
        </w:rPr>
        <w:t xml:space="preserve"> decision to sign</w:t>
      </w:r>
      <w:r>
        <w:rPr>
          <w:lang w:eastAsia="en-US"/>
        </w:rPr>
        <w:t xml:space="preserve"> </w:t>
      </w:r>
      <w:r w:rsidR="00901F61">
        <w:rPr>
          <w:lang w:eastAsia="en-US"/>
        </w:rPr>
        <w:t xml:space="preserve">or not </w:t>
      </w:r>
      <w:r w:rsidR="000D1F7C">
        <w:rPr>
          <w:lang w:eastAsia="en-US"/>
        </w:rPr>
        <w:t xml:space="preserve">an </w:t>
      </w:r>
      <w:r>
        <w:rPr>
          <w:lang w:eastAsia="en-US"/>
        </w:rPr>
        <w:t>e</w:t>
      </w:r>
      <w:r w:rsidR="000D1F7C">
        <w:rPr>
          <w:lang w:eastAsia="en-US"/>
        </w:rPr>
        <w:t>CA agreemen</w:t>
      </w:r>
      <w:r>
        <w:rPr>
          <w:lang w:eastAsia="en-US"/>
        </w:rPr>
        <w:t xml:space="preserve">t </w:t>
      </w:r>
      <w:r w:rsidR="00B76827">
        <w:rPr>
          <w:lang w:eastAsia="en-US"/>
        </w:rPr>
        <w:t xml:space="preserve">so that </w:t>
      </w:r>
      <w:r w:rsidR="00901F61">
        <w:rPr>
          <w:lang w:eastAsia="en-US"/>
        </w:rPr>
        <w:t xml:space="preserve">the applicant </w:t>
      </w:r>
      <w:r w:rsidR="000D1F7C">
        <w:rPr>
          <w:lang w:eastAsia="en-US"/>
        </w:rPr>
        <w:t xml:space="preserve">could </w:t>
      </w:r>
      <w:r w:rsidR="00901F61">
        <w:rPr>
          <w:lang w:eastAsia="en-US"/>
        </w:rPr>
        <w:t xml:space="preserve">still </w:t>
      </w:r>
      <w:r w:rsidR="000D1F7C">
        <w:rPr>
          <w:lang w:eastAsia="en-US"/>
        </w:rPr>
        <w:t>contact other CAs</w:t>
      </w:r>
      <w:r w:rsidR="00B76827">
        <w:rPr>
          <w:lang w:eastAsia="en-US"/>
        </w:rPr>
        <w:t xml:space="preserve"> in case </w:t>
      </w:r>
      <w:r w:rsidR="00901F61">
        <w:rPr>
          <w:lang w:eastAsia="en-US"/>
        </w:rPr>
        <w:t xml:space="preserve">no agreement was </w:t>
      </w:r>
      <w:r w:rsidR="0068294C">
        <w:rPr>
          <w:lang w:eastAsia="en-US"/>
        </w:rPr>
        <w:t>achieved</w:t>
      </w:r>
      <w:r w:rsidR="000D1F7C">
        <w:rPr>
          <w:lang w:eastAsia="en-US"/>
        </w:rPr>
        <w:t xml:space="preserve">.  </w:t>
      </w:r>
    </w:p>
    <w:p w14:paraId="64F57D87" w14:textId="77777777" w:rsidR="000D1F7C" w:rsidRDefault="000D1F7C" w:rsidP="002C534D">
      <w:pPr>
        <w:pStyle w:val="ListNumber"/>
        <w:rPr>
          <w:lang w:eastAsia="en-US"/>
        </w:rPr>
      </w:pPr>
      <w:r>
        <w:rPr>
          <w:lang w:eastAsia="en-US"/>
        </w:rPr>
        <w:t>Once the applicant has the agreement of an eCA</w:t>
      </w:r>
      <w:r w:rsidR="002674ED">
        <w:rPr>
          <w:lang w:eastAsia="en-US"/>
        </w:rPr>
        <w:t xml:space="preserve"> to conduct the evaluation</w:t>
      </w:r>
      <w:r>
        <w:rPr>
          <w:lang w:eastAsia="en-US"/>
        </w:rPr>
        <w:t>, he</w:t>
      </w:r>
      <w:r w:rsidR="00901F61">
        <w:rPr>
          <w:lang w:eastAsia="en-US"/>
        </w:rPr>
        <w:t>/she</w:t>
      </w:r>
      <w:r>
        <w:rPr>
          <w:lang w:eastAsia="en-US"/>
        </w:rPr>
        <w:t xml:space="preserve"> should not contact </w:t>
      </w:r>
      <w:r w:rsidR="00284C3A">
        <w:rPr>
          <w:lang w:eastAsia="en-US"/>
        </w:rPr>
        <w:t xml:space="preserve">other </w:t>
      </w:r>
      <w:r>
        <w:rPr>
          <w:lang w:eastAsia="en-US"/>
        </w:rPr>
        <w:t xml:space="preserve">CAs </w:t>
      </w:r>
      <w:r w:rsidR="00284C3A">
        <w:rPr>
          <w:lang w:eastAsia="en-US"/>
        </w:rPr>
        <w:t xml:space="preserve">anymore </w:t>
      </w:r>
      <w:r>
        <w:rPr>
          <w:lang w:eastAsia="en-US"/>
        </w:rPr>
        <w:t xml:space="preserve">and should inform other CAs </w:t>
      </w:r>
      <w:r w:rsidR="002674ED">
        <w:rPr>
          <w:lang w:eastAsia="en-US"/>
        </w:rPr>
        <w:t>of the agreement reached with the eCA.</w:t>
      </w:r>
      <w:r>
        <w:rPr>
          <w:lang w:eastAsia="en-US"/>
        </w:rPr>
        <w:t xml:space="preserve"> </w:t>
      </w:r>
    </w:p>
    <w:p w14:paraId="38DD96C2" w14:textId="77777777" w:rsidR="000D1F7C" w:rsidRDefault="000D1F7C" w:rsidP="000D1F7C">
      <w:pPr>
        <w:pStyle w:val="Heading1"/>
        <w:numPr>
          <w:ilvl w:val="0"/>
          <w:numId w:val="0"/>
        </w:numPr>
        <w:ind w:left="482"/>
        <w:rPr>
          <w:lang w:eastAsia="en-US"/>
        </w:rPr>
      </w:pPr>
      <w:r>
        <w:rPr>
          <w:lang w:eastAsia="en-US"/>
        </w:rPr>
        <w:t xml:space="preserve">Step 2 – Pre-submission meetings  </w:t>
      </w:r>
    </w:p>
    <w:p w14:paraId="27ED6DD7" w14:textId="77777777" w:rsidR="000D1F7C" w:rsidRDefault="000D1F7C" w:rsidP="002C534D">
      <w:pPr>
        <w:pStyle w:val="ListNumber"/>
        <w:rPr>
          <w:lang w:eastAsia="en-US"/>
        </w:rPr>
      </w:pPr>
      <w:r>
        <w:rPr>
          <w:lang w:eastAsia="en-US"/>
        </w:rPr>
        <w:t>After an eCA agreement has been signed, actual pre-submission meeting(s) can be organized. In general, only one physical meeting is held for an application. In this context, it is important to have a common understanding about when and how p</w:t>
      </w:r>
      <w:r w:rsidR="00826885">
        <w:rPr>
          <w:lang w:eastAsia="en-US"/>
        </w:rPr>
        <w:t xml:space="preserve">re-submission meeting(s) </w:t>
      </w:r>
      <w:r w:rsidR="00284C3A">
        <w:rPr>
          <w:lang w:eastAsia="en-US"/>
        </w:rPr>
        <w:t>should be organised</w:t>
      </w:r>
      <w:r>
        <w:rPr>
          <w:lang w:eastAsia="en-US"/>
        </w:rPr>
        <w:t xml:space="preserve">, </w:t>
      </w:r>
      <w:r w:rsidR="00284C3A">
        <w:rPr>
          <w:lang w:eastAsia="en-US"/>
        </w:rPr>
        <w:t>and which points need to be discussed.</w:t>
      </w:r>
      <w:r>
        <w:rPr>
          <w:lang w:eastAsia="en-US"/>
        </w:rPr>
        <w:t xml:space="preserve"> </w:t>
      </w:r>
    </w:p>
    <w:p w14:paraId="5A9B9105" w14:textId="77777777" w:rsidR="000D1F7C" w:rsidRDefault="007C3736" w:rsidP="002C534D">
      <w:pPr>
        <w:pStyle w:val="ListNumber"/>
        <w:rPr>
          <w:lang w:eastAsia="en-US"/>
        </w:rPr>
      </w:pPr>
      <w:r>
        <w:rPr>
          <w:b/>
          <w:lang w:eastAsia="en-US"/>
        </w:rPr>
        <w:t>Timing</w:t>
      </w:r>
      <w:r w:rsidR="000D1F7C" w:rsidRPr="000D1F7C">
        <w:rPr>
          <w:b/>
          <w:lang w:eastAsia="en-US"/>
        </w:rPr>
        <w:t>:</w:t>
      </w:r>
      <w:r w:rsidR="000D1F7C">
        <w:rPr>
          <w:b/>
          <w:lang w:eastAsia="en-US"/>
        </w:rPr>
        <w:t xml:space="preserve"> </w:t>
      </w:r>
      <w:r w:rsidR="000D1F7C">
        <w:rPr>
          <w:lang w:eastAsia="en-US"/>
        </w:rPr>
        <w:t xml:space="preserve">Pre-submission meetings should take place during the year before submission of the application. </w:t>
      </w:r>
    </w:p>
    <w:p w14:paraId="1D174456" w14:textId="77777777" w:rsidR="000D1F7C" w:rsidRDefault="000D1F7C" w:rsidP="002C534D">
      <w:pPr>
        <w:pStyle w:val="ListNumber"/>
        <w:rPr>
          <w:lang w:eastAsia="en-US"/>
        </w:rPr>
      </w:pPr>
      <w:r w:rsidRPr="000D1F7C">
        <w:rPr>
          <w:b/>
          <w:lang w:eastAsia="en-US"/>
        </w:rPr>
        <w:t>Limitations :</w:t>
      </w:r>
      <w:r w:rsidR="00826885">
        <w:rPr>
          <w:b/>
          <w:lang w:eastAsia="en-US"/>
        </w:rPr>
        <w:t xml:space="preserve"> </w:t>
      </w:r>
      <w:r>
        <w:rPr>
          <w:lang w:eastAsia="en-US"/>
        </w:rPr>
        <w:t>Before the pre-submission takes place the applicant should be informed about the following limitations of the support th</w:t>
      </w:r>
      <w:r w:rsidR="00284C3A">
        <w:rPr>
          <w:lang w:eastAsia="en-US"/>
        </w:rPr>
        <w:t xml:space="preserve">at the </w:t>
      </w:r>
      <w:r w:rsidR="00613B10">
        <w:rPr>
          <w:lang w:eastAsia="en-US"/>
        </w:rPr>
        <w:t>e</w:t>
      </w:r>
      <w:r>
        <w:rPr>
          <w:lang w:eastAsia="en-US"/>
        </w:rPr>
        <w:t xml:space="preserve">CA can provide: </w:t>
      </w:r>
    </w:p>
    <w:p w14:paraId="20A550B7" w14:textId="77777777" w:rsidR="000D1F7C" w:rsidRDefault="000D1F7C" w:rsidP="006C23E7">
      <w:pPr>
        <w:pStyle w:val="ListNumberLevel2"/>
        <w:spacing w:after="120"/>
        <w:rPr>
          <w:lang w:eastAsia="en-US"/>
        </w:rPr>
      </w:pPr>
      <w:r>
        <w:rPr>
          <w:lang w:eastAsia="en-US"/>
        </w:rPr>
        <w:lastRenderedPageBreak/>
        <w:t xml:space="preserve">The </w:t>
      </w:r>
      <w:r w:rsidR="00613B10">
        <w:rPr>
          <w:lang w:eastAsia="en-US"/>
        </w:rPr>
        <w:t>e</w:t>
      </w:r>
      <w:r>
        <w:rPr>
          <w:lang w:eastAsia="en-US"/>
        </w:rPr>
        <w:t>CA is willing to provide all necessary support to the applicant, but it cannot and will not replace the assistance the applicant can get from his own experts or by hiring a consultancy.</w:t>
      </w:r>
    </w:p>
    <w:p w14:paraId="01163C2C" w14:textId="77777777" w:rsidR="000D1F7C" w:rsidRDefault="000D1F7C" w:rsidP="006C23E7">
      <w:pPr>
        <w:pStyle w:val="ListNumberLevel2"/>
        <w:spacing w:after="120"/>
        <w:rPr>
          <w:lang w:eastAsia="en-US"/>
        </w:rPr>
      </w:pPr>
      <w:r>
        <w:rPr>
          <w:lang w:eastAsia="en-US"/>
        </w:rPr>
        <w:t xml:space="preserve">Any recommendation provided by the </w:t>
      </w:r>
      <w:r w:rsidR="00613B10">
        <w:rPr>
          <w:lang w:eastAsia="en-US"/>
        </w:rPr>
        <w:t>e</w:t>
      </w:r>
      <w:r>
        <w:rPr>
          <w:lang w:eastAsia="en-US"/>
        </w:rPr>
        <w:t xml:space="preserve">CA is based on the data provided for the meeting and does not anticipate the </w:t>
      </w:r>
      <w:r w:rsidR="00613B10">
        <w:rPr>
          <w:lang w:eastAsia="en-US"/>
        </w:rPr>
        <w:t>outcome</w:t>
      </w:r>
      <w:r>
        <w:rPr>
          <w:lang w:eastAsia="en-US"/>
        </w:rPr>
        <w:t xml:space="preserve"> of the dossier evaluation.</w:t>
      </w:r>
    </w:p>
    <w:p w14:paraId="4D0F2698" w14:textId="77777777" w:rsidR="000D1F7C" w:rsidRDefault="000D1F7C" w:rsidP="006C23E7">
      <w:pPr>
        <w:pStyle w:val="ListNumberLevel2"/>
        <w:spacing w:after="120"/>
        <w:rPr>
          <w:lang w:eastAsia="en-US"/>
        </w:rPr>
      </w:pPr>
      <w:r>
        <w:rPr>
          <w:lang w:eastAsia="en-US"/>
        </w:rPr>
        <w:t xml:space="preserve">The </w:t>
      </w:r>
      <w:r w:rsidR="00613B10">
        <w:rPr>
          <w:lang w:eastAsia="en-US"/>
        </w:rPr>
        <w:t>e</w:t>
      </w:r>
      <w:r>
        <w:rPr>
          <w:lang w:eastAsia="en-US"/>
        </w:rPr>
        <w:t xml:space="preserve">CAs’ comments are non-binding recommendations and it is still up to the applicants </w:t>
      </w:r>
      <w:r w:rsidR="00613B10">
        <w:rPr>
          <w:lang w:eastAsia="en-US"/>
        </w:rPr>
        <w:t xml:space="preserve">to decide </w:t>
      </w:r>
      <w:r>
        <w:rPr>
          <w:lang w:eastAsia="en-US"/>
        </w:rPr>
        <w:t xml:space="preserve">how to implement these recommendations or even find a better solution. The applicant is fully responsible for the quality and </w:t>
      </w:r>
      <w:r w:rsidR="00613B10">
        <w:rPr>
          <w:lang w:eastAsia="en-US"/>
        </w:rPr>
        <w:t xml:space="preserve">pertinence </w:t>
      </w:r>
      <w:r>
        <w:rPr>
          <w:lang w:eastAsia="en-US"/>
        </w:rPr>
        <w:t xml:space="preserve">of the data submitted with the application. </w:t>
      </w:r>
    </w:p>
    <w:p w14:paraId="5948816A" w14:textId="77777777" w:rsidR="000D1F7C" w:rsidRDefault="000D1F7C" w:rsidP="006C23E7">
      <w:pPr>
        <w:pStyle w:val="ListNumberLevel2"/>
        <w:spacing w:after="120"/>
        <w:rPr>
          <w:lang w:eastAsia="en-US"/>
        </w:rPr>
      </w:pPr>
      <w:r>
        <w:rPr>
          <w:lang w:eastAsia="en-US"/>
        </w:rPr>
        <w:t xml:space="preserve">The </w:t>
      </w:r>
      <w:r w:rsidR="00613B10">
        <w:rPr>
          <w:lang w:eastAsia="en-US"/>
        </w:rPr>
        <w:t>e</w:t>
      </w:r>
      <w:r>
        <w:rPr>
          <w:lang w:eastAsia="en-US"/>
        </w:rPr>
        <w:t xml:space="preserve">CA in general is not in the position to participate in the development of new test strategies or approaches for exposure and/or risk assessment and risk mitigation measurements. For such </w:t>
      </w:r>
      <w:r w:rsidR="00613B10">
        <w:rPr>
          <w:lang w:eastAsia="en-US"/>
        </w:rPr>
        <w:t>developments,</w:t>
      </w:r>
      <w:r>
        <w:rPr>
          <w:lang w:eastAsia="en-US"/>
        </w:rPr>
        <w:t xml:space="preserve"> the applicant is advised to rely on his own expertise or hire external expertise </w:t>
      </w:r>
      <w:r w:rsidR="00613B10">
        <w:rPr>
          <w:lang w:eastAsia="en-US"/>
        </w:rPr>
        <w:t>at</w:t>
      </w:r>
      <w:r>
        <w:rPr>
          <w:lang w:eastAsia="en-US"/>
        </w:rPr>
        <w:t xml:space="preserve"> his own expenses. However, the applicant is invited to present his intended strategy and discuss it with the eCA on a generic level.</w:t>
      </w:r>
    </w:p>
    <w:p w14:paraId="4D99AFE6" w14:textId="77777777" w:rsidR="000D1F7C" w:rsidRDefault="007C3736" w:rsidP="002C534D">
      <w:pPr>
        <w:pStyle w:val="ListNumber"/>
        <w:rPr>
          <w:lang w:eastAsia="en-US"/>
        </w:rPr>
      </w:pPr>
      <w:r>
        <w:rPr>
          <w:b/>
          <w:lang w:eastAsia="en-US"/>
        </w:rPr>
        <w:t>Content</w:t>
      </w:r>
      <w:r w:rsidR="000D1F7C" w:rsidRPr="000D1F7C">
        <w:rPr>
          <w:b/>
          <w:lang w:eastAsia="en-US"/>
        </w:rPr>
        <w:t xml:space="preserve"> : </w:t>
      </w:r>
      <w:r w:rsidR="000D1F7C">
        <w:rPr>
          <w:lang w:eastAsia="en-US"/>
        </w:rPr>
        <w:t xml:space="preserve">The following issues might be relevant for discussion in relation to BPF applications: </w:t>
      </w:r>
    </w:p>
    <w:p w14:paraId="1BFDF614" w14:textId="77777777" w:rsidR="000D1F7C" w:rsidRDefault="000D1F7C" w:rsidP="006C23E7">
      <w:pPr>
        <w:pStyle w:val="ListNumberLevel2"/>
        <w:spacing w:after="120"/>
        <w:rPr>
          <w:lang w:eastAsia="en-US"/>
        </w:rPr>
      </w:pPr>
      <w:r>
        <w:rPr>
          <w:lang w:eastAsia="en-US"/>
        </w:rPr>
        <w:t>1st level: Overall information on the BPF. What is the argumentation for similar uses, similar composition and similar levels of risk and efficacy within the whole BPF?</w:t>
      </w:r>
    </w:p>
    <w:p w14:paraId="78D629D7" w14:textId="77777777" w:rsidR="000D1F7C" w:rsidRDefault="000D1F7C" w:rsidP="006C23E7">
      <w:pPr>
        <w:pStyle w:val="ListNumberLevel2"/>
        <w:spacing w:after="120"/>
        <w:rPr>
          <w:lang w:eastAsia="en-US"/>
        </w:rPr>
      </w:pPr>
      <w:r>
        <w:rPr>
          <w:lang w:eastAsia="en-US"/>
        </w:rPr>
        <w:t xml:space="preserve">2nd level: Meta SPCs. How many meta-SPCs are planned, how are they divided and what is the argumentation for this division? </w:t>
      </w:r>
    </w:p>
    <w:p w14:paraId="4B100F5F" w14:textId="77777777" w:rsidR="000D1F7C" w:rsidRDefault="000D1F7C" w:rsidP="006C23E7">
      <w:pPr>
        <w:pStyle w:val="ListNumberLevel2"/>
        <w:spacing w:after="120"/>
        <w:rPr>
          <w:lang w:eastAsia="en-US"/>
        </w:rPr>
      </w:pPr>
      <w:r>
        <w:rPr>
          <w:lang w:eastAsia="en-US"/>
        </w:rPr>
        <w:t xml:space="preserve">Are there any specific information requirements needed for the BPF? </w:t>
      </w:r>
    </w:p>
    <w:p w14:paraId="422A8980" w14:textId="77777777" w:rsidR="000D1F7C" w:rsidRDefault="000D1F7C" w:rsidP="006C23E7">
      <w:pPr>
        <w:pStyle w:val="ListNumberLevel2"/>
        <w:spacing w:after="120"/>
        <w:rPr>
          <w:lang w:eastAsia="en-US"/>
        </w:rPr>
      </w:pPr>
      <w:r w:rsidRPr="00B61732">
        <w:rPr>
          <w:u w:val="single"/>
          <w:lang w:eastAsia="en-US"/>
        </w:rPr>
        <w:t xml:space="preserve">Testing strategy </w:t>
      </w:r>
      <w:r>
        <w:rPr>
          <w:lang w:eastAsia="en-US"/>
        </w:rPr>
        <w:t>to secure that the whole range of meta-SPC</w:t>
      </w:r>
      <w:r w:rsidR="0024624E">
        <w:rPr>
          <w:lang w:eastAsia="en-US"/>
        </w:rPr>
        <w:t>s</w:t>
      </w:r>
      <w:r>
        <w:rPr>
          <w:lang w:eastAsia="en-US"/>
        </w:rPr>
        <w:t xml:space="preserve"> is covered </w:t>
      </w:r>
      <w:r w:rsidR="00B61732">
        <w:rPr>
          <w:lang w:eastAsia="en-US"/>
        </w:rPr>
        <w:t>by</w:t>
      </w:r>
      <w:r>
        <w:rPr>
          <w:lang w:eastAsia="en-US"/>
        </w:rPr>
        <w:t xml:space="preserve"> the assessment, i.e. for: </w:t>
      </w:r>
    </w:p>
    <w:p w14:paraId="74E9D31B" w14:textId="77777777" w:rsidR="000D1F7C" w:rsidRDefault="000D1F7C" w:rsidP="002C534D">
      <w:pPr>
        <w:pStyle w:val="ListDash2"/>
        <w:rPr>
          <w:lang w:eastAsia="en-US"/>
        </w:rPr>
      </w:pPr>
      <w:r>
        <w:rPr>
          <w:lang w:eastAsia="en-US"/>
        </w:rPr>
        <w:t xml:space="preserve">Physical/chemical: including definition of representative products at BPF/Meta SPCs level </w:t>
      </w:r>
    </w:p>
    <w:p w14:paraId="4954AA52" w14:textId="77777777" w:rsidR="000D1F7C" w:rsidRDefault="000D1F7C" w:rsidP="002C534D">
      <w:pPr>
        <w:pStyle w:val="ListDash2"/>
        <w:rPr>
          <w:lang w:eastAsia="en-US"/>
        </w:rPr>
      </w:pPr>
      <w:r>
        <w:rPr>
          <w:lang w:eastAsia="en-US"/>
        </w:rPr>
        <w:t>Efficacy: including definition of representative products at BPF/Meta SPCs level</w:t>
      </w:r>
      <w:r w:rsidR="00B61732">
        <w:rPr>
          <w:lang w:eastAsia="en-US"/>
        </w:rPr>
        <w:t>,</w:t>
      </w:r>
      <w:r>
        <w:rPr>
          <w:lang w:eastAsia="en-US"/>
        </w:rPr>
        <w:t xml:space="preserve"> co-formulant impact on efficacy </w:t>
      </w:r>
      <w:r w:rsidRPr="0051030B">
        <w:rPr>
          <w:lang w:eastAsia="en-US"/>
        </w:rPr>
        <w:t>and the definition of the worst case (soiling etc.). In case of lacking guidan</w:t>
      </w:r>
      <w:r>
        <w:rPr>
          <w:lang w:eastAsia="en-US"/>
        </w:rPr>
        <w:t>ce the testing strategies need to be agreed with the eCA, possibly in a written procedure.</w:t>
      </w:r>
    </w:p>
    <w:p w14:paraId="5016DAD6" w14:textId="77777777" w:rsidR="000D1F7C" w:rsidRDefault="002125C5" w:rsidP="002C534D">
      <w:pPr>
        <w:pStyle w:val="ListDash2"/>
        <w:rPr>
          <w:lang w:eastAsia="en-US"/>
        </w:rPr>
      </w:pPr>
      <w:r>
        <w:rPr>
          <w:lang w:eastAsia="en-US"/>
        </w:rPr>
        <w:t>H</w:t>
      </w:r>
      <w:r w:rsidR="000D1F7C">
        <w:rPr>
          <w:lang w:eastAsia="en-US"/>
        </w:rPr>
        <w:t>uman</w:t>
      </w:r>
      <w:r w:rsidR="00FE106F">
        <w:rPr>
          <w:lang w:eastAsia="en-US"/>
        </w:rPr>
        <w:t xml:space="preserve"> and </w:t>
      </w:r>
      <w:r w:rsidR="000D1F7C">
        <w:rPr>
          <w:lang w:eastAsia="en-US"/>
        </w:rPr>
        <w:t>animal</w:t>
      </w:r>
      <w:r w:rsidR="00833B94">
        <w:rPr>
          <w:lang w:eastAsia="en-US"/>
        </w:rPr>
        <w:t xml:space="preserve"> health</w:t>
      </w:r>
      <w:r w:rsidR="000D1F7C">
        <w:rPr>
          <w:lang w:eastAsia="en-US"/>
        </w:rPr>
        <w:t xml:space="preserve"> </w:t>
      </w:r>
    </w:p>
    <w:p w14:paraId="17D635C9" w14:textId="77777777" w:rsidR="000D1F7C" w:rsidRDefault="000D1F7C" w:rsidP="002C534D">
      <w:pPr>
        <w:pStyle w:val="ListDash2"/>
        <w:rPr>
          <w:lang w:eastAsia="en-US"/>
        </w:rPr>
      </w:pPr>
      <w:r>
        <w:rPr>
          <w:lang w:eastAsia="en-US"/>
        </w:rPr>
        <w:t>Environment</w:t>
      </w:r>
    </w:p>
    <w:p w14:paraId="0FDA2508" w14:textId="77777777" w:rsidR="000D1F7C" w:rsidRDefault="000D1F7C" w:rsidP="00B61732">
      <w:pPr>
        <w:pStyle w:val="ListNumberLevel2"/>
        <w:rPr>
          <w:lang w:eastAsia="en-US"/>
        </w:rPr>
      </w:pPr>
      <w:r>
        <w:rPr>
          <w:lang w:eastAsia="en-US"/>
        </w:rPr>
        <w:t>Definition of worst case risk assessments for environment and human/animal health</w:t>
      </w:r>
      <w:r w:rsidR="0024624E">
        <w:rPr>
          <w:lang w:eastAsia="en-US"/>
        </w:rPr>
        <w:t xml:space="preserve"> as well as </w:t>
      </w:r>
      <w:r w:rsidR="0051030B">
        <w:rPr>
          <w:lang w:eastAsia="en-US"/>
        </w:rPr>
        <w:t xml:space="preserve">for </w:t>
      </w:r>
      <w:r w:rsidR="0024624E">
        <w:rPr>
          <w:lang w:eastAsia="en-US"/>
        </w:rPr>
        <w:t>efficacy</w:t>
      </w:r>
    </w:p>
    <w:p w14:paraId="3ECB628C" w14:textId="77777777" w:rsidR="000D1F7C" w:rsidRPr="00BF4FD0" w:rsidRDefault="000D1F7C" w:rsidP="00BF4FD0">
      <w:pPr>
        <w:pStyle w:val="ListNumberLevel2"/>
        <w:rPr>
          <w:lang w:eastAsia="en-US"/>
        </w:rPr>
      </w:pPr>
      <w:r>
        <w:rPr>
          <w:lang w:eastAsia="en-US"/>
        </w:rPr>
        <w:t xml:space="preserve">Where relevant, Article 5(2) assessment and/or comparative assessment. </w:t>
      </w:r>
      <w:r w:rsidR="00BF4FD0" w:rsidRPr="00BF4FD0">
        <w:rPr>
          <w:lang w:eastAsia="en-US"/>
        </w:rPr>
        <w:t>–</w:t>
      </w:r>
      <w:r w:rsidR="00BF4FD0" w:rsidRPr="00BF4FD0">
        <w:rPr>
          <w:lang w:eastAsia="en-US"/>
        </w:rPr>
        <w:tab/>
        <w:t>Where a BPF contains an active substance which is candidate for substitution, the intended uses within each meta-SPC will be subject to comparative assessment. As a result, all or some of those uses could be eventually prohibited or restricted where suitable alternatives meeting the conditions of Article 23(3) of the BPR are available.</w:t>
      </w:r>
    </w:p>
    <w:p w14:paraId="1B906902" w14:textId="77777777" w:rsidR="000D1F7C" w:rsidRDefault="000D1F7C" w:rsidP="00B61732">
      <w:pPr>
        <w:pStyle w:val="ListNumberLevel2"/>
        <w:rPr>
          <w:lang w:eastAsia="en-US"/>
        </w:rPr>
      </w:pPr>
      <w:r>
        <w:rPr>
          <w:lang w:eastAsia="en-US"/>
        </w:rPr>
        <w:lastRenderedPageBreak/>
        <w:t>Practical issues, such as expected CA fee for the suggested BPF (rMS should urge the applicant to contact ECHA regarding their fees)</w:t>
      </w:r>
      <w:r w:rsidR="0024624E">
        <w:rPr>
          <w:lang w:eastAsia="en-US"/>
        </w:rPr>
        <w:t>,</w:t>
      </w:r>
      <w:r>
        <w:rPr>
          <w:lang w:eastAsia="en-US"/>
        </w:rPr>
        <w:t xml:space="preserve"> the applicant should be asked if he meets the criteria for SME status (fee relevant) and timelines regarding the application submission and authorisation process. </w:t>
      </w:r>
    </w:p>
    <w:p w14:paraId="0E192488" w14:textId="77777777" w:rsidR="000D1F7C" w:rsidRDefault="007C3736" w:rsidP="002C534D">
      <w:pPr>
        <w:pStyle w:val="ListNumber"/>
        <w:rPr>
          <w:lang w:eastAsia="en-US"/>
        </w:rPr>
      </w:pPr>
      <w:r w:rsidRPr="007C3736">
        <w:rPr>
          <w:b/>
          <w:lang w:eastAsia="en-US"/>
        </w:rPr>
        <w:t>Organisation</w:t>
      </w:r>
      <w:r w:rsidR="002B7416" w:rsidRPr="002B7416">
        <w:rPr>
          <w:b/>
          <w:lang w:eastAsia="en-US"/>
        </w:rPr>
        <w:t xml:space="preserve">: </w:t>
      </w:r>
      <w:r w:rsidR="000D1F7C">
        <w:rPr>
          <w:lang w:eastAsia="en-US"/>
        </w:rPr>
        <w:t xml:space="preserve">The following setting and responsibilities are suggested: </w:t>
      </w:r>
    </w:p>
    <w:p w14:paraId="759B2EB9" w14:textId="77777777" w:rsidR="002B7416" w:rsidRDefault="000D1F7C" w:rsidP="0043562D">
      <w:pPr>
        <w:pStyle w:val="ListNumberLevel2"/>
        <w:spacing w:after="120"/>
        <w:rPr>
          <w:lang w:eastAsia="en-US"/>
        </w:rPr>
      </w:pPr>
      <w:r>
        <w:rPr>
          <w:lang w:eastAsia="en-US"/>
        </w:rPr>
        <w:t xml:space="preserve">The applicant contacts the eCA and clarifies any relevant administrative procedure </w:t>
      </w:r>
      <w:r w:rsidR="00253CDC">
        <w:rPr>
          <w:lang w:eastAsia="en-US"/>
        </w:rPr>
        <w:t>needed in preparation of the meeting</w:t>
      </w:r>
      <w:r>
        <w:rPr>
          <w:lang w:eastAsia="en-US"/>
        </w:rPr>
        <w:t xml:space="preserve"> (e.g. where relevant any forms to be filled-in, fees to be paid, etc…).</w:t>
      </w:r>
    </w:p>
    <w:p w14:paraId="5D5C6DAF" w14:textId="77777777" w:rsidR="002B7416" w:rsidRDefault="002C534D" w:rsidP="0043562D">
      <w:pPr>
        <w:pStyle w:val="ListNumberLevel2"/>
        <w:spacing w:after="120"/>
        <w:rPr>
          <w:lang w:eastAsia="en-US"/>
        </w:rPr>
      </w:pPr>
      <w:r>
        <w:rPr>
          <w:lang w:eastAsia="en-US"/>
        </w:rPr>
        <w:t>No</w:t>
      </w:r>
      <w:r w:rsidR="000D1F7C">
        <w:rPr>
          <w:lang w:eastAsia="en-US"/>
        </w:rPr>
        <w:t xml:space="preserve"> later than two weeks before the meeting, the applicant </w:t>
      </w:r>
      <w:r w:rsidR="00253CDC">
        <w:rPr>
          <w:lang w:eastAsia="en-US"/>
        </w:rPr>
        <w:t>shall propose a draft</w:t>
      </w:r>
      <w:r w:rsidR="000D1F7C">
        <w:rPr>
          <w:lang w:eastAsia="en-US"/>
        </w:rPr>
        <w:t xml:space="preserve"> agenda (based on the proposal above) and background documents for the meeting, as well as specific questions for the different parts of the evaluation. The applicant will have to provide the overview of the BPF according to the overview </w:t>
      </w:r>
      <w:r w:rsidR="002C7C2E">
        <w:rPr>
          <w:lang w:eastAsia="en-US"/>
        </w:rPr>
        <w:t xml:space="preserve">Excel </w:t>
      </w:r>
      <w:r w:rsidR="000D1F7C">
        <w:rPr>
          <w:lang w:eastAsia="en-US"/>
        </w:rPr>
        <w:t>template agreed upon at CG-21</w:t>
      </w:r>
      <w:r w:rsidR="00C853C8">
        <w:rPr>
          <w:rStyle w:val="FootnoteReference"/>
          <w:lang w:eastAsia="en-US"/>
        </w:rPr>
        <w:footnoteReference w:id="36"/>
      </w:r>
      <w:r w:rsidR="000D1F7C">
        <w:rPr>
          <w:lang w:eastAsia="en-US"/>
        </w:rPr>
        <w:t xml:space="preserve">. </w:t>
      </w:r>
      <w:r w:rsidR="001965F3">
        <w:rPr>
          <w:lang w:eastAsia="en-US"/>
        </w:rPr>
        <w:t xml:space="preserve">Against </w:t>
      </w:r>
      <w:r w:rsidR="000D1F7C">
        <w:rPr>
          <w:lang w:eastAsia="en-US"/>
        </w:rPr>
        <w:t>this background</w:t>
      </w:r>
      <w:r w:rsidR="001965F3">
        <w:rPr>
          <w:lang w:eastAsia="en-US"/>
        </w:rPr>
        <w:t>,</w:t>
      </w:r>
      <w:r w:rsidR="000D1F7C">
        <w:rPr>
          <w:lang w:eastAsia="en-US"/>
        </w:rPr>
        <w:t xml:space="preserve"> the eCA can decide on </w:t>
      </w:r>
      <w:r w:rsidR="00FF6D76">
        <w:rPr>
          <w:lang w:eastAsia="en-US"/>
        </w:rPr>
        <w:t xml:space="preserve">the nature of </w:t>
      </w:r>
      <w:r w:rsidR="000D1F7C">
        <w:rPr>
          <w:lang w:eastAsia="en-US"/>
        </w:rPr>
        <w:t>expert</w:t>
      </w:r>
      <w:r w:rsidR="001965F3">
        <w:rPr>
          <w:lang w:eastAsia="en-US"/>
        </w:rPr>
        <w:t>s</w:t>
      </w:r>
      <w:r w:rsidR="00FF6D76">
        <w:rPr>
          <w:lang w:eastAsia="en-US"/>
        </w:rPr>
        <w:t xml:space="preserve"> experience</w:t>
      </w:r>
      <w:r w:rsidR="000D1F7C">
        <w:rPr>
          <w:lang w:eastAsia="en-US"/>
        </w:rPr>
        <w:t xml:space="preserve"> </w:t>
      </w:r>
      <w:r w:rsidR="00FF6D76">
        <w:rPr>
          <w:lang w:eastAsia="en-US"/>
        </w:rPr>
        <w:t>required for t</w:t>
      </w:r>
      <w:r w:rsidR="000D1F7C">
        <w:rPr>
          <w:lang w:eastAsia="en-US"/>
        </w:rPr>
        <w:t xml:space="preserve">he meeting. </w:t>
      </w:r>
    </w:p>
    <w:p w14:paraId="3DE8C3CB" w14:textId="77777777" w:rsidR="000A52AD" w:rsidRDefault="000D1F7C" w:rsidP="0043562D">
      <w:pPr>
        <w:pStyle w:val="ListNumberLevel2"/>
        <w:spacing w:after="120"/>
        <w:rPr>
          <w:lang w:eastAsia="en-US"/>
        </w:rPr>
      </w:pPr>
      <w:r>
        <w:rPr>
          <w:lang w:eastAsia="en-US"/>
        </w:rPr>
        <w:t xml:space="preserve">The length of the meetings will be established by the eCA according </w:t>
      </w:r>
      <w:r w:rsidR="00FF6D76">
        <w:rPr>
          <w:lang w:eastAsia="en-US"/>
        </w:rPr>
        <w:t>to</w:t>
      </w:r>
      <w:r>
        <w:rPr>
          <w:lang w:eastAsia="en-US"/>
        </w:rPr>
        <w:t xml:space="preserve"> the </w:t>
      </w:r>
      <w:r w:rsidR="00FF6D76">
        <w:rPr>
          <w:lang w:eastAsia="en-US"/>
        </w:rPr>
        <w:t xml:space="preserve">draft </w:t>
      </w:r>
      <w:r>
        <w:rPr>
          <w:lang w:eastAsia="en-US"/>
        </w:rPr>
        <w:t xml:space="preserve">agenda proposed by the applicant (e.g. from a few hours to a full-day). </w:t>
      </w:r>
    </w:p>
    <w:p w14:paraId="25AC07D5" w14:textId="77777777" w:rsidR="000A52AD" w:rsidRDefault="000D1F7C" w:rsidP="0043562D">
      <w:pPr>
        <w:pStyle w:val="ListNumberLevel2"/>
        <w:spacing w:after="120"/>
        <w:rPr>
          <w:lang w:eastAsia="en-US"/>
        </w:rPr>
      </w:pPr>
      <w:r>
        <w:rPr>
          <w:lang w:eastAsia="en-US"/>
        </w:rPr>
        <w:t>At the meeting</w:t>
      </w:r>
      <w:r w:rsidR="00FF6D76">
        <w:rPr>
          <w:lang w:eastAsia="en-US"/>
        </w:rPr>
        <w:t>,</w:t>
      </w:r>
      <w:r>
        <w:rPr>
          <w:lang w:eastAsia="en-US"/>
        </w:rPr>
        <w:t xml:space="preserve"> the applicant briefly presents the intended use(s) of the products covered by the BPF and the eCA gives recommendations and advice</w:t>
      </w:r>
      <w:r w:rsidR="00FF6D76">
        <w:rPr>
          <w:lang w:eastAsia="en-US"/>
        </w:rPr>
        <w:t>s</w:t>
      </w:r>
      <w:r>
        <w:rPr>
          <w:lang w:eastAsia="en-US"/>
        </w:rPr>
        <w:t xml:space="preserve"> on the </w:t>
      </w:r>
      <w:r w:rsidR="00FF6D76">
        <w:rPr>
          <w:lang w:eastAsia="en-US"/>
        </w:rPr>
        <w:t xml:space="preserve">identified </w:t>
      </w:r>
      <w:r>
        <w:rPr>
          <w:lang w:eastAsia="en-US"/>
        </w:rPr>
        <w:t xml:space="preserve">issues. The eCA gives an </w:t>
      </w:r>
      <w:r w:rsidR="002B7416">
        <w:rPr>
          <w:lang w:eastAsia="en-US"/>
        </w:rPr>
        <w:t>indication on whether the BPF structure and the worst case(s) identified by the applicant might be</w:t>
      </w:r>
      <w:r w:rsidR="00FF6D76">
        <w:rPr>
          <w:lang w:eastAsia="en-US"/>
        </w:rPr>
        <w:t xml:space="preserve"> </w:t>
      </w:r>
      <w:r w:rsidR="002B7416">
        <w:rPr>
          <w:lang w:eastAsia="en-US"/>
        </w:rPr>
        <w:t>acceptable or not.  In case the eCA based on the presented data, disagrees during the pre-submission meeting, the applicant shall address these concerns before the submission of the application.</w:t>
      </w:r>
    </w:p>
    <w:p w14:paraId="53B53BFD" w14:textId="77777777" w:rsidR="000A52AD" w:rsidRDefault="002B7416" w:rsidP="0043562D">
      <w:pPr>
        <w:pStyle w:val="ListNumberLevel2"/>
        <w:spacing w:after="120"/>
        <w:rPr>
          <w:lang w:eastAsia="en-US"/>
        </w:rPr>
      </w:pPr>
      <w:r>
        <w:rPr>
          <w:lang w:eastAsia="en-US"/>
        </w:rPr>
        <w:t xml:space="preserve">The meeting should identify specific scope or PT allocation issues, as well as technical matters for which there is no agreed harmonized approach. In these cases the eCA might need to consult the other member states (e-consultations of one of the WGs, HelpEx, or e-consultation of the CG, depending on the issue) in order to obtain a proposed way forward. </w:t>
      </w:r>
    </w:p>
    <w:p w14:paraId="6ACB28EE" w14:textId="77777777" w:rsidR="000D1F7C" w:rsidRDefault="002B7416" w:rsidP="0043562D">
      <w:pPr>
        <w:pStyle w:val="ListNumberLevel2"/>
        <w:spacing w:after="120"/>
        <w:rPr>
          <w:lang w:eastAsia="en-US"/>
        </w:rPr>
      </w:pPr>
      <w:r>
        <w:rPr>
          <w:lang w:eastAsia="en-US"/>
        </w:rPr>
        <w:t>The applicant must prepare minutes from the meeting which are afterward</w:t>
      </w:r>
      <w:r w:rsidR="00FF6D76">
        <w:rPr>
          <w:lang w:eastAsia="en-US"/>
        </w:rPr>
        <w:t>s</w:t>
      </w:r>
      <w:r>
        <w:rPr>
          <w:lang w:eastAsia="en-US"/>
        </w:rPr>
        <w:t xml:space="preserve"> checked (and updated if ne</w:t>
      </w:r>
      <w:r w:rsidR="00FF6D76">
        <w:rPr>
          <w:lang w:eastAsia="en-US"/>
        </w:rPr>
        <w:t>cessary</w:t>
      </w:r>
      <w:r>
        <w:rPr>
          <w:lang w:eastAsia="en-US"/>
        </w:rPr>
        <w:t xml:space="preserve">) by the eCA. These minutes should reflect all the items discussed and action points </w:t>
      </w:r>
      <w:r w:rsidR="00FF6D76">
        <w:rPr>
          <w:lang w:eastAsia="en-US"/>
        </w:rPr>
        <w:t xml:space="preserve">agreed during </w:t>
      </w:r>
      <w:r>
        <w:rPr>
          <w:lang w:eastAsia="en-US"/>
        </w:rPr>
        <w:t>the meeting and the relevant deadlines.</w:t>
      </w:r>
    </w:p>
    <w:p w14:paraId="0EEE325E" w14:textId="77777777" w:rsidR="00802C7D" w:rsidRDefault="00802C7D" w:rsidP="00ED7CC5">
      <w:pPr>
        <w:pStyle w:val="ListNumber1Level2"/>
        <w:numPr>
          <w:ilvl w:val="0"/>
          <w:numId w:val="0"/>
        </w:numPr>
        <w:ind w:left="1899"/>
        <w:rPr>
          <w:lang w:eastAsia="en-US"/>
        </w:rPr>
        <w:sectPr w:rsidR="00802C7D">
          <w:pgSz w:w="11906" w:h="16838"/>
          <w:pgMar w:top="1020" w:right="1701" w:bottom="1020" w:left="1587" w:header="601" w:footer="1077" w:gutter="0"/>
          <w:cols w:space="720"/>
          <w:titlePg/>
          <w:docGrid w:linePitch="326"/>
        </w:sectPr>
      </w:pPr>
    </w:p>
    <w:p w14:paraId="630EF605" w14:textId="77777777" w:rsidR="00ED7CC5" w:rsidRDefault="00802C7D" w:rsidP="00802C7D">
      <w:pPr>
        <w:pStyle w:val="PartTitle"/>
        <w:spacing w:after="360"/>
        <w:rPr>
          <w:sz w:val="28"/>
          <w:szCs w:val="28"/>
          <w:lang w:eastAsia="en-US"/>
        </w:rPr>
      </w:pPr>
      <w:r w:rsidRPr="00802C7D">
        <w:rPr>
          <w:sz w:val="28"/>
          <w:szCs w:val="28"/>
          <w:lang w:eastAsia="en-US"/>
        </w:rPr>
        <w:lastRenderedPageBreak/>
        <w:t>Annex II</w:t>
      </w:r>
    </w:p>
    <w:p w14:paraId="50010EA8" w14:textId="77777777" w:rsidR="00802C7D" w:rsidRPr="001A74B3" w:rsidRDefault="00802C7D" w:rsidP="00802C7D">
      <w:pPr>
        <w:pStyle w:val="ChapterTitle"/>
        <w:rPr>
          <w:sz w:val="28"/>
          <w:szCs w:val="28"/>
          <w:lang w:eastAsia="en-US"/>
        </w:rPr>
      </w:pPr>
      <w:r w:rsidRPr="001A74B3">
        <w:rPr>
          <w:sz w:val="28"/>
          <w:szCs w:val="28"/>
          <w:lang w:eastAsia="en-US"/>
        </w:rPr>
        <w:t xml:space="preserve">Examples of the proposed approach </w:t>
      </w:r>
      <w:r w:rsidR="001A74B3">
        <w:rPr>
          <w:sz w:val="28"/>
          <w:szCs w:val="28"/>
          <w:lang w:eastAsia="en-US"/>
        </w:rPr>
        <w:t>on</w:t>
      </w:r>
      <w:r w:rsidRPr="001A74B3">
        <w:rPr>
          <w:sz w:val="28"/>
          <w:szCs w:val="28"/>
          <w:lang w:eastAsia="en-US"/>
        </w:rPr>
        <w:t xml:space="preserve"> “Similar composition” </w:t>
      </w:r>
    </w:p>
    <w:p w14:paraId="539C3200" w14:textId="77777777" w:rsidR="00802C7D" w:rsidRPr="00802C7D" w:rsidRDefault="00802C7D" w:rsidP="00802C7D">
      <w:pPr>
        <w:rPr>
          <w:b/>
          <w:u w:val="single"/>
          <w:lang w:eastAsia="en-US"/>
        </w:rPr>
      </w:pPr>
      <w:r w:rsidRPr="00802C7D">
        <w:rPr>
          <w:b/>
          <w:u w:val="single"/>
          <w:lang w:eastAsia="en-US"/>
        </w:rPr>
        <w:t>Example #1</w:t>
      </w:r>
    </w:p>
    <w:p w14:paraId="2A370437" w14:textId="77777777" w:rsidR="00802C7D" w:rsidRDefault="00802C7D" w:rsidP="00802C7D">
      <w:pPr>
        <w:rPr>
          <w:lang w:eastAsia="en-US"/>
        </w:rPr>
      </w:pPr>
      <w:r>
        <w:rPr>
          <w:lang w:eastAsia="en-US"/>
        </w:rPr>
        <w:t>BPF containing PT3 Iodine products for teat disinfection:</w:t>
      </w:r>
    </w:p>
    <w:p w14:paraId="1BA98022" w14:textId="77777777" w:rsidR="00802C7D" w:rsidRDefault="00802C7D" w:rsidP="00802C7D">
      <w:pPr>
        <w:rPr>
          <w:lang w:eastAsia="en-US"/>
        </w:rPr>
      </w:pPr>
      <w:r>
        <w:rPr>
          <w:lang w:eastAsia="en-US"/>
        </w:rPr>
        <w:t>The backbone composition is defined as</w:t>
      </w:r>
    </w:p>
    <w:p w14:paraId="50A55D23" w14:textId="77777777" w:rsidR="00802C7D" w:rsidRDefault="00802C7D" w:rsidP="00802C7D">
      <w:pPr>
        <w:pStyle w:val="ListBullet1"/>
        <w:spacing w:after="120"/>
        <w:rPr>
          <w:lang w:eastAsia="en-US"/>
        </w:rPr>
      </w:pPr>
      <w:r>
        <w:rPr>
          <w:lang w:eastAsia="en-US"/>
        </w:rPr>
        <w:t>active substance</w:t>
      </w:r>
    </w:p>
    <w:p w14:paraId="72F2D7CF" w14:textId="77777777" w:rsidR="00802C7D" w:rsidRDefault="00802C7D" w:rsidP="00802C7D">
      <w:pPr>
        <w:pStyle w:val="ListBullet1"/>
        <w:spacing w:after="120"/>
        <w:rPr>
          <w:lang w:eastAsia="en-US"/>
        </w:rPr>
      </w:pPr>
      <w:r>
        <w:rPr>
          <w:lang w:eastAsia="en-US"/>
        </w:rPr>
        <w:t>a complexing/solubilising agent (grouping has been applied to allow for different chemicals to be used)</w:t>
      </w:r>
    </w:p>
    <w:p w14:paraId="694E2711" w14:textId="77777777" w:rsidR="00802C7D" w:rsidRDefault="00802C7D" w:rsidP="00802C7D">
      <w:pPr>
        <w:pStyle w:val="ListBullet1"/>
        <w:spacing w:after="120"/>
        <w:rPr>
          <w:lang w:eastAsia="en-US"/>
        </w:rPr>
      </w:pPr>
      <w:r>
        <w:rPr>
          <w:lang w:eastAsia="en-US"/>
        </w:rPr>
        <w:t>water as solvent (the solvent has been particularly specified to make clear that the BPF will only contain aqueous products)</w:t>
      </w:r>
    </w:p>
    <w:p w14:paraId="763DB594" w14:textId="77777777" w:rsidR="00802C7D" w:rsidRDefault="00802C7D" w:rsidP="00802C7D">
      <w:pPr>
        <w:rPr>
          <w:lang w:eastAsia="en-US"/>
        </w:rPr>
      </w:pPr>
      <w:r>
        <w:rPr>
          <w:lang w:eastAsia="en-US"/>
        </w:rPr>
        <w:t>For some specific uses additional components (i.e. non essential to formulate) can be added to the product composition, like emollients and wetting agents for teat spraying products. For teat dipping, where higher viscosity is needed a thickener will be added. These components would not be included in the backbone composition.</w:t>
      </w:r>
    </w:p>
    <w:p w14:paraId="386BD904" w14:textId="77777777" w:rsidR="00802C7D" w:rsidRPr="00863C72" w:rsidRDefault="00802C7D" w:rsidP="00802C7D">
      <w:pPr>
        <w:rPr>
          <w:b/>
          <w:u w:val="single"/>
          <w:lang w:eastAsia="en-US"/>
        </w:rPr>
      </w:pPr>
      <w:r w:rsidRPr="00863C72">
        <w:rPr>
          <w:b/>
          <w:u w:val="single"/>
          <w:lang w:eastAsia="en-US"/>
        </w:rPr>
        <w:t>Example #2</w:t>
      </w:r>
      <w:r w:rsidR="00550DB0">
        <w:rPr>
          <w:b/>
          <w:u w:val="single"/>
          <w:lang w:eastAsia="en-US"/>
        </w:rPr>
        <w:t>a</w:t>
      </w:r>
    </w:p>
    <w:p w14:paraId="1C7137CF" w14:textId="77777777" w:rsidR="00802C7D" w:rsidRDefault="00802C7D" w:rsidP="00802C7D">
      <w:pPr>
        <w:rPr>
          <w:lang w:eastAsia="en-US"/>
        </w:rPr>
      </w:pPr>
      <w:r>
        <w:rPr>
          <w:lang w:eastAsia="en-US"/>
        </w:rPr>
        <w:t>A BPF consisting of three creosote products, one of them consisting of 100 % Creosote, while the second and third members also include a solvent.</w:t>
      </w:r>
    </w:p>
    <w:p w14:paraId="3E76D35F" w14:textId="77777777" w:rsidR="00802C7D" w:rsidRDefault="00802C7D" w:rsidP="00802C7D">
      <w:pPr>
        <w:rPr>
          <w:lang w:eastAsia="en-US"/>
        </w:rPr>
      </w:pPr>
      <w:r>
        <w:rPr>
          <w:lang w:eastAsia="en-US"/>
        </w:rPr>
        <w:t xml:space="preserve">Strictly speaking the undissolved product would not comply with the provision of at least one co-formulant essential to formulate. On the other hand the applicant could argue that the exception for concentrates should apply. In this case the products containing only the active substances, which itself is already a liquid, would be regarded as </w:t>
      </w:r>
      <w:r w:rsidR="00090F27">
        <w:rPr>
          <w:lang w:eastAsia="en-US"/>
        </w:rPr>
        <w:t xml:space="preserve">a </w:t>
      </w:r>
      <w:r>
        <w:rPr>
          <w:lang w:eastAsia="en-US"/>
        </w:rPr>
        <w:t>concentrate intended to be diluted with a solvent, whereas the product containing the solvents represents a ready-to-use product (or a less concentrated concentrate). In this case it is suggested, that the eCA could accept creosote as the backbone composition.</w:t>
      </w:r>
    </w:p>
    <w:p w14:paraId="596B7705" w14:textId="77777777" w:rsidR="00802C7D" w:rsidRPr="00863C72" w:rsidRDefault="00802C7D" w:rsidP="00802C7D">
      <w:pPr>
        <w:rPr>
          <w:b/>
          <w:u w:val="single"/>
          <w:lang w:eastAsia="en-US"/>
        </w:rPr>
      </w:pPr>
      <w:r w:rsidRPr="00863C72">
        <w:rPr>
          <w:b/>
          <w:u w:val="single"/>
          <w:lang w:eastAsia="en-US"/>
        </w:rPr>
        <w:t>Example #3</w:t>
      </w:r>
    </w:p>
    <w:p w14:paraId="0AC1E5BE" w14:textId="77777777" w:rsidR="00802C7D" w:rsidRDefault="00802C7D" w:rsidP="00802C7D">
      <w:pPr>
        <w:rPr>
          <w:lang w:eastAsia="en-US"/>
        </w:rPr>
      </w:pPr>
      <w:r>
        <w:rPr>
          <w:lang w:eastAsia="en-US"/>
        </w:rPr>
        <w:t>A BPF containing Calcium Hypochlorite consisting of 3 meta-SPCs, all cover solid (powder &amp; tablet) products. The first meta-SPC contains 100% active substance as a powd</w:t>
      </w:r>
      <w:r w:rsidR="0087212A">
        <w:rPr>
          <w:lang w:eastAsia="en-US"/>
        </w:rPr>
        <w:t>er product. The second meta-SPC</w:t>
      </w:r>
      <w:r>
        <w:rPr>
          <w:lang w:eastAsia="en-US"/>
        </w:rPr>
        <w:t xml:space="preserve"> contains the active substance, an anti-scale agent and a dye. The third meta-SPC contains the active substance, an anti-scale agent, a dye and a formulation aid for tablet formulation (classificatio</w:t>
      </w:r>
      <w:r w:rsidR="008430D5">
        <w:rPr>
          <w:lang w:eastAsia="en-US"/>
        </w:rPr>
        <w:t>n is different to meta-</w:t>
      </w:r>
      <w:r>
        <w:rPr>
          <w:lang w:eastAsia="en-US"/>
        </w:rPr>
        <w:t xml:space="preserve">SPC 2). </w:t>
      </w:r>
    </w:p>
    <w:p w14:paraId="4B976537" w14:textId="77777777" w:rsidR="00802C7D" w:rsidRDefault="00802C7D" w:rsidP="00802C7D">
      <w:pPr>
        <w:rPr>
          <w:lang w:eastAsia="en-US"/>
        </w:rPr>
      </w:pPr>
      <w:r>
        <w:rPr>
          <w:lang w:eastAsia="en-US"/>
        </w:rPr>
        <w:t xml:space="preserve">All three products are solid formulations, two of them containing different co-formulants, which could be considered as not essential to formulate with the exemption for the aid for tablet formulation. The later should be discussed how essential this co-formulant should be seen. </w:t>
      </w:r>
    </w:p>
    <w:p w14:paraId="0A12DBDB" w14:textId="77777777" w:rsidR="00802C7D" w:rsidRDefault="00802C7D" w:rsidP="00802C7D">
      <w:pPr>
        <w:rPr>
          <w:lang w:eastAsia="en-US"/>
        </w:rPr>
      </w:pPr>
      <w:r>
        <w:rPr>
          <w:lang w:eastAsia="en-US"/>
        </w:rPr>
        <w:t xml:space="preserve">Overall the eCA could accept the active substance as a backbone, at least for meta SPC 1 and 2, meta SPC 3 has to be discussed further and decided on a case by case basis. If a tablet could still be formed without the co-formulant (even though with somewhat different physical/structural properties), the co-formulant could be considered as not </w:t>
      </w:r>
      <w:r>
        <w:rPr>
          <w:lang w:eastAsia="en-US"/>
        </w:rPr>
        <w:lastRenderedPageBreak/>
        <w:t xml:space="preserve">essential and not included in the backbone composition. In case of doubt, the eCA should also consider whether the criteria for similarity of uses and similar level of risk and efficacy are met. </w:t>
      </w:r>
    </w:p>
    <w:p w14:paraId="1089111E" w14:textId="77777777" w:rsidR="00802C7D" w:rsidRPr="00863C72" w:rsidRDefault="00802C7D" w:rsidP="00802C7D">
      <w:pPr>
        <w:rPr>
          <w:b/>
          <w:u w:val="single"/>
          <w:lang w:eastAsia="en-US"/>
        </w:rPr>
      </w:pPr>
      <w:r w:rsidRPr="00863C72">
        <w:rPr>
          <w:b/>
          <w:u w:val="single"/>
          <w:lang w:eastAsia="en-US"/>
        </w:rPr>
        <w:t>Example #4</w:t>
      </w:r>
    </w:p>
    <w:p w14:paraId="756253FB" w14:textId="77777777" w:rsidR="00802C7D" w:rsidRDefault="00802C7D" w:rsidP="00802C7D">
      <w:pPr>
        <w:rPr>
          <w:lang w:eastAsia="en-US"/>
        </w:rPr>
      </w:pPr>
      <w:r>
        <w:rPr>
          <w:lang w:eastAsia="en-US"/>
        </w:rPr>
        <w:t>A BPF with CMIT/MIT as active substance, including glycol based, water based and powder based formulations.</w:t>
      </w:r>
    </w:p>
    <w:p w14:paraId="583CCB34" w14:textId="77777777" w:rsidR="00802C7D" w:rsidRDefault="00802C7D" w:rsidP="00802C7D">
      <w:pPr>
        <w:rPr>
          <w:lang w:eastAsia="en-US"/>
        </w:rPr>
      </w:pPr>
      <w:r>
        <w:rPr>
          <w:lang w:eastAsia="en-US"/>
        </w:rPr>
        <w:t xml:space="preserve">It should be evaluated whether the solvents meet the criteria defined in the document on grouping of co-formulants.  Depending on the outcome, the family should be either split into two families (solvent based and powder based) or into three families, glycol based, water based and powder based. </w:t>
      </w:r>
    </w:p>
    <w:p w14:paraId="2F4C7005" w14:textId="77777777" w:rsidR="00802C7D" w:rsidRPr="00863C72" w:rsidRDefault="00802C7D" w:rsidP="00802C7D">
      <w:pPr>
        <w:rPr>
          <w:b/>
          <w:u w:val="single"/>
          <w:lang w:eastAsia="en-US"/>
        </w:rPr>
      </w:pPr>
      <w:r w:rsidRPr="00863C72">
        <w:rPr>
          <w:b/>
          <w:u w:val="single"/>
          <w:lang w:eastAsia="en-US"/>
        </w:rPr>
        <w:t>Example #5(a)</w:t>
      </w:r>
    </w:p>
    <w:p w14:paraId="22723966" w14:textId="77777777" w:rsidR="00802C7D" w:rsidRDefault="00802C7D" w:rsidP="00802C7D">
      <w:pPr>
        <w:rPr>
          <w:lang w:eastAsia="en-US"/>
        </w:rPr>
      </w:pPr>
      <w:r>
        <w:rPr>
          <w:lang w:eastAsia="en-US"/>
        </w:rPr>
        <w:t xml:space="preserve">A BPF with </w:t>
      </w:r>
      <w:r w:rsidR="00F45559">
        <w:rPr>
          <w:lang w:eastAsia="en-US"/>
        </w:rPr>
        <w:t>i</w:t>
      </w:r>
      <w:r>
        <w:rPr>
          <w:lang w:eastAsia="en-US"/>
        </w:rPr>
        <w:t xml:space="preserve">sopropyl alcohol, including products with 50-70% of the active substance and different co-formulants where water is added to </w:t>
      </w:r>
      <w:r w:rsidR="00A20237">
        <w:rPr>
          <w:lang w:eastAsia="en-US"/>
        </w:rPr>
        <w:t xml:space="preserve">complete </w:t>
      </w:r>
      <w:r>
        <w:rPr>
          <w:lang w:eastAsia="en-US"/>
        </w:rPr>
        <w:t xml:space="preserve">the composition up to 100%. The products can be used as RTU hand rubs with skin care agents, hand rub with a thickener (viscous liquid), sprays without co-formulants or pressurized containers delivering the product as aerosol. </w:t>
      </w:r>
    </w:p>
    <w:p w14:paraId="1310BFC5" w14:textId="1326B2FD" w:rsidR="00802C7D" w:rsidRDefault="00802C7D" w:rsidP="00802C7D">
      <w:pPr>
        <w:rPr>
          <w:lang w:eastAsia="en-US"/>
        </w:rPr>
      </w:pPr>
      <w:r>
        <w:rPr>
          <w:lang w:eastAsia="en-US"/>
        </w:rPr>
        <w:t xml:space="preserve">Regarding similar composition the backbone composition can be defined as </w:t>
      </w:r>
      <w:r w:rsidR="00F45559">
        <w:rPr>
          <w:lang w:eastAsia="en-US"/>
        </w:rPr>
        <w:t>i</w:t>
      </w:r>
      <w:r>
        <w:rPr>
          <w:lang w:eastAsia="en-US"/>
        </w:rPr>
        <w:t xml:space="preserve">sopropyl alcohol and water. This will allow a range of different aqueous products considered as similar because the </w:t>
      </w:r>
      <w:r w:rsidR="00574F0A">
        <w:rPr>
          <w:lang w:eastAsia="en-US"/>
        </w:rPr>
        <w:t xml:space="preserve">other </w:t>
      </w:r>
      <w:r>
        <w:rPr>
          <w:lang w:eastAsia="en-US"/>
        </w:rPr>
        <w:t xml:space="preserve">co-formulants are not essential to formulate the biocidal product. The </w:t>
      </w:r>
      <w:r w:rsidR="00A20237">
        <w:rPr>
          <w:lang w:eastAsia="en-US"/>
        </w:rPr>
        <w:t>envisaged</w:t>
      </w:r>
      <w:r>
        <w:rPr>
          <w:lang w:eastAsia="en-US"/>
        </w:rPr>
        <w:t xml:space="preserve"> range and the different ways of application</w:t>
      </w:r>
      <w:r w:rsidR="00A20237">
        <w:rPr>
          <w:lang w:eastAsia="en-US"/>
        </w:rPr>
        <w:t>s</w:t>
      </w:r>
      <w:r>
        <w:rPr>
          <w:lang w:eastAsia="en-US"/>
        </w:rPr>
        <w:t xml:space="preserve"> should be addressed by the check for similar level of risk and efficacy.</w:t>
      </w:r>
    </w:p>
    <w:p w14:paraId="0499A783" w14:textId="77777777" w:rsidR="00802C7D" w:rsidRPr="00863C72" w:rsidRDefault="00802C7D" w:rsidP="00802C7D">
      <w:pPr>
        <w:rPr>
          <w:b/>
          <w:u w:val="single"/>
          <w:lang w:eastAsia="en-US"/>
        </w:rPr>
      </w:pPr>
      <w:r w:rsidRPr="00863C72">
        <w:rPr>
          <w:b/>
          <w:u w:val="single"/>
          <w:lang w:eastAsia="en-US"/>
        </w:rPr>
        <w:t>Example #5(b)</w:t>
      </w:r>
    </w:p>
    <w:p w14:paraId="15BBEFE2" w14:textId="43498262" w:rsidR="00802C7D" w:rsidRDefault="00802C7D" w:rsidP="00802C7D">
      <w:pPr>
        <w:rPr>
          <w:lang w:eastAsia="en-US"/>
        </w:rPr>
      </w:pPr>
      <w:r>
        <w:rPr>
          <w:lang w:eastAsia="en-US"/>
        </w:rPr>
        <w:t xml:space="preserve">A BPF with </w:t>
      </w:r>
      <w:r w:rsidR="00492B40">
        <w:rPr>
          <w:lang w:eastAsia="en-US"/>
        </w:rPr>
        <w:t>i</w:t>
      </w:r>
      <w:r>
        <w:rPr>
          <w:lang w:eastAsia="en-US"/>
        </w:rPr>
        <w:t xml:space="preserve">sopropyl alcohol, including products with 50-70% of the active substance and different additives where the composition is </w:t>
      </w:r>
      <w:r w:rsidR="008430D5">
        <w:rPr>
          <w:lang w:eastAsia="en-US"/>
        </w:rPr>
        <w:t xml:space="preserve">made up to 100% </w:t>
      </w:r>
      <w:r>
        <w:rPr>
          <w:lang w:eastAsia="en-US"/>
        </w:rPr>
        <w:t>with water</w:t>
      </w:r>
      <w:r w:rsidR="008430D5">
        <w:rPr>
          <w:lang w:eastAsia="en-US"/>
        </w:rPr>
        <w:t xml:space="preserve"> </w:t>
      </w:r>
      <w:r>
        <w:rPr>
          <w:lang w:eastAsia="en-US"/>
        </w:rPr>
        <w:t xml:space="preserve">and including </w:t>
      </w:r>
      <w:r w:rsidR="008430D5">
        <w:rPr>
          <w:lang w:eastAsia="en-US"/>
        </w:rPr>
        <w:t xml:space="preserve">liquid formulations and </w:t>
      </w:r>
      <w:r>
        <w:rPr>
          <w:lang w:eastAsia="en-US"/>
        </w:rPr>
        <w:t xml:space="preserve">wipes impregnated with the same formulation. In </w:t>
      </w:r>
      <w:r w:rsidR="008430D5">
        <w:rPr>
          <w:lang w:eastAsia="en-US"/>
        </w:rPr>
        <w:t>such cases,</w:t>
      </w:r>
      <w:r>
        <w:rPr>
          <w:lang w:eastAsia="en-US"/>
        </w:rPr>
        <w:t xml:space="preserve"> the exception for carrier-based products could apply</w:t>
      </w:r>
      <w:r w:rsidR="00EE25F3">
        <w:rPr>
          <w:lang w:eastAsia="en-US"/>
        </w:rPr>
        <w:t>.</w:t>
      </w:r>
      <w:r w:rsidR="00EE25F3" w:rsidDel="00EE25F3">
        <w:rPr>
          <w:lang w:eastAsia="en-US"/>
        </w:rPr>
        <w:t xml:space="preserve"> </w:t>
      </w:r>
    </w:p>
    <w:p w14:paraId="65EE79C8" w14:textId="77777777" w:rsidR="00802C7D" w:rsidRPr="00863C72" w:rsidRDefault="00802C7D" w:rsidP="00802C7D">
      <w:pPr>
        <w:rPr>
          <w:b/>
          <w:u w:val="single"/>
          <w:lang w:eastAsia="en-US"/>
        </w:rPr>
      </w:pPr>
      <w:r w:rsidRPr="00863C72">
        <w:rPr>
          <w:b/>
          <w:u w:val="single"/>
          <w:lang w:eastAsia="en-US"/>
        </w:rPr>
        <w:t>Example #6</w:t>
      </w:r>
      <w:r w:rsidR="00D9525E">
        <w:rPr>
          <w:b/>
          <w:u w:val="single"/>
          <w:lang w:eastAsia="en-US"/>
        </w:rPr>
        <w:t>(</w:t>
      </w:r>
      <w:r w:rsidR="009023D4">
        <w:rPr>
          <w:b/>
          <w:u w:val="single"/>
          <w:lang w:eastAsia="en-US"/>
        </w:rPr>
        <w:t>a</w:t>
      </w:r>
      <w:r w:rsidR="00D9525E">
        <w:rPr>
          <w:b/>
          <w:u w:val="single"/>
          <w:lang w:eastAsia="en-US"/>
        </w:rPr>
        <w:t>)</w:t>
      </w:r>
    </w:p>
    <w:p w14:paraId="08C2CED8" w14:textId="77777777" w:rsidR="00802C7D" w:rsidRDefault="00802C7D" w:rsidP="00802C7D">
      <w:pPr>
        <w:rPr>
          <w:lang w:eastAsia="en-US"/>
        </w:rPr>
      </w:pPr>
      <w:r>
        <w:rPr>
          <w:lang w:eastAsia="en-US"/>
        </w:rPr>
        <w:t>A BPF with a solid active substance mainly formulated as dispersion or slurry, which can be easily incorporated into molten plastics. The BPF should also contain the solid active substance as such.</w:t>
      </w:r>
    </w:p>
    <w:p w14:paraId="3485D823" w14:textId="77777777" w:rsidR="00802C7D" w:rsidRDefault="00802C7D" w:rsidP="00802C7D">
      <w:pPr>
        <w:rPr>
          <w:lang w:eastAsia="en-US"/>
        </w:rPr>
      </w:pPr>
      <w:r>
        <w:rPr>
          <w:lang w:eastAsia="en-US"/>
        </w:rPr>
        <w:t>The product with the active substance would not comply with the similar composition criterion. It could be suggested to define two BPF, one with the active substance as backbone composition and one with the active substance and the co-formulants necessary to form a stable dispersion or slurry. Solid formulations and dispersion/slurry formulations would trigger two different sets of phys-chem data, most likely also different approaches for human health exposure. Therefore this set of products should be dealt with in two separate BPF.</w:t>
      </w:r>
    </w:p>
    <w:p w14:paraId="0DC17BE1" w14:textId="77777777" w:rsidR="009023D4" w:rsidRPr="00B07462" w:rsidRDefault="009023D4" w:rsidP="00802C7D">
      <w:pPr>
        <w:rPr>
          <w:b/>
          <w:u w:val="single"/>
          <w:lang w:eastAsia="en-US"/>
        </w:rPr>
      </w:pPr>
      <w:r w:rsidRPr="00B07462">
        <w:rPr>
          <w:b/>
          <w:u w:val="single"/>
          <w:lang w:eastAsia="en-US"/>
        </w:rPr>
        <w:t>Example</w:t>
      </w:r>
      <w:r w:rsidR="00B07462" w:rsidRPr="00B07462">
        <w:rPr>
          <w:b/>
          <w:u w:val="single"/>
          <w:lang w:eastAsia="en-US"/>
        </w:rPr>
        <w:t xml:space="preserve"> </w:t>
      </w:r>
      <w:r w:rsidRPr="00B07462">
        <w:rPr>
          <w:b/>
          <w:u w:val="single"/>
          <w:lang w:eastAsia="en-US"/>
        </w:rPr>
        <w:t>#6</w:t>
      </w:r>
      <w:r w:rsidR="00B07462" w:rsidRPr="00B07462">
        <w:rPr>
          <w:b/>
          <w:u w:val="single"/>
          <w:lang w:eastAsia="en-US"/>
        </w:rPr>
        <w:t>(</w:t>
      </w:r>
      <w:r w:rsidRPr="00B07462">
        <w:rPr>
          <w:b/>
          <w:u w:val="single"/>
          <w:lang w:eastAsia="en-US"/>
        </w:rPr>
        <w:t>b</w:t>
      </w:r>
      <w:r w:rsidR="00B07462" w:rsidRPr="00B07462">
        <w:rPr>
          <w:b/>
          <w:u w:val="single"/>
          <w:lang w:eastAsia="en-US"/>
        </w:rPr>
        <w:t>)</w:t>
      </w:r>
    </w:p>
    <w:p w14:paraId="52BA0CF3" w14:textId="77777777" w:rsidR="009023D4" w:rsidRDefault="009023D4" w:rsidP="00802C7D">
      <w:pPr>
        <w:rPr>
          <w:lang w:eastAsia="en-US"/>
        </w:rPr>
      </w:pPr>
      <w:r>
        <w:rPr>
          <w:lang w:eastAsia="en-US"/>
        </w:rPr>
        <w:t xml:space="preserve">A PT3 BPF consists of a PT liquid </w:t>
      </w:r>
      <w:r w:rsidR="00B07462">
        <w:rPr>
          <w:lang w:eastAsia="en-US"/>
        </w:rPr>
        <w:t>and gel formulations with</w:t>
      </w:r>
      <w:r>
        <w:rPr>
          <w:lang w:eastAsia="en-US"/>
        </w:rPr>
        <w:t xml:space="preserve"> different co-formulants that are essential to formulate a gel.</w:t>
      </w:r>
    </w:p>
    <w:p w14:paraId="468FB88B" w14:textId="77777777" w:rsidR="009023D4" w:rsidRDefault="009023D4" w:rsidP="00802C7D">
      <w:pPr>
        <w:rPr>
          <w:lang w:eastAsia="en-US"/>
        </w:rPr>
      </w:pPr>
      <w:r>
        <w:rPr>
          <w:lang w:eastAsia="en-US"/>
        </w:rPr>
        <w:lastRenderedPageBreak/>
        <w:t>Liquid and gel formulations would lead to different dermal absorption and exposure patterns. The gel thickness might have also important implications for the efficacy assessment. Therefore the liquid and the gel formulation should be allocated in two different meta-SPC.</w:t>
      </w:r>
    </w:p>
    <w:p w14:paraId="12A7866A" w14:textId="77777777" w:rsidR="00802C7D" w:rsidRPr="00636A57" w:rsidRDefault="00802C7D" w:rsidP="00802C7D">
      <w:pPr>
        <w:rPr>
          <w:b/>
          <w:u w:val="single"/>
          <w:lang w:eastAsia="en-US"/>
        </w:rPr>
      </w:pPr>
      <w:r w:rsidRPr="00636A57">
        <w:rPr>
          <w:b/>
          <w:u w:val="single"/>
          <w:lang w:eastAsia="en-US"/>
        </w:rPr>
        <w:t>Example #7</w:t>
      </w:r>
    </w:p>
    <w:p w14:paraId="3FDC42C9" w14:textId="77777777" w:rsidR="00802C7D" w:rsidRDefault="00802C7D" w:rsidP="00802C7D">
      <w:pPr>
        <w:rPr>
          <w:lang w:eastAsia="en-US"/>
        </w:rPr>
      </w:pPr>
      <w:r>
        <w:rPr>
          <w:lang w:eastAsia="en-US"/>
        </w:rPr>
        <w:t>A BPF consists of an aqueous solution of sodium hypochlorite and different co-formulants.</w:t>
      </w:r>
    </w:p>
    <w:p w14:paraId="7FFAEE49" w14:textId="77777777" w:rsidR="00802C7D" w:rsidRDefault="00802C7D" w:rsidP="00802C7D">
      <w:pPr>
        <w:rPr>
          <w:lang w:eastAsia="en-US"/>
        </w:rPr>
      </w:pPr>
      <w:r>
        <w:rPr>
          <w:lang w:eastAsia="en-US"/>
        </w:rPr>
        <w:t xml:space="preserve">Defining the backbone composition consisting of sodium hypochlorite and water would comply with the proposed criterion. This will allow a range of different aqueous dilutions to be considered as similar. The conceivable range should be addressed by checking the criteria for similar uses and similar level of risk and efficacy. </w:t>
      </w:r>
    </w:p>
    <w:p w14:paraId="58945B7B" w14:textId="77777777" w:rsidR="00802C7D" w:rsidRPr="00636A57" w:rsidRDefault="00802C7D" w:rsidP="00802C7D">
      <w:pPr>
        <w:rPr>
          <w:b/>
          <w:u w:val="single"/>
          <w:lang w:eastAsia="en-US"/>
        </w:rPr>
      </w:pPr>
      <w:r w:rsidRPr="00636A57">
        <w:rPr>
          <w:b/>
          <w:u w:val="single"/>
          <w:lang w:eastAsia="en-US"/>
        </w:rPr>
        <w:t xml:space="preserve">Example #8 </w:t>
      </w:r>
    </w:p>
    <w:p w14:paraId="4E866C5A" w14:textId="77777777" w:rsidR="00802C7D" w:rsidRDefault="00802C7D" w:rsidP="00802C7D">
      <w:pPr>
        <w:rPr>
          <w:lang w:eastAsia="en-US"/>
        </w:rPr>
      </w:pPr>
      <w:r>
        <w:rPr>
          <w:lang w:eastAsia="en-US"/>
        </w:rPr>
        <w:t>A BPF which consists of an aqueous solution of lactic acid and in some low concentration lactic acid products, sulfuric acid is added as a pH regulator in order to reach an appropriate pH for efficacy purposes (but not necessary for the stability of the product).</w:t>
      </w:r>
    </w:p>
    <w:p w14:paraId="15F79D67" w14:textId="77777777" w:rsidR="00802C7D" w:rsidRDefault="00802C7D" w:rsidP="00802C7D">
      <w:pPr>
        <w:rPr>
          <w:lang w:eastAsia="en-US"/>
        </w:rPr>
      </w:pPr>
      <w:r>
        <w:rPr>
          <w:lang w:eastAsia="en-US"/>
        </w:rPr>
        <w:t xml:space="preserve">The backbone composition would be defined as water and lactic acid, as sulfuric acid is not essential to formulate stable products. If sulfuric acid would be needed in order to obtain a stable formulation, then it should be included in the backbone composition. In that case, products without sulfuric acid would need to be in a different family. </w:t>
      </w:r>
    </w:p>
    <w:p w14:paraId="575E30B0" w14:textId="77777777" w:rsidR="00802C7D" w:rsidRPr="00802C7D" w:rsidRDefault="00802C7D" w:rsidP="00802C7D">
      <w:pPr>
        <w:rPr>
          <w:lang w:eastAsia="en-US"/>
        </w:rPr>
        <w:sectPr w:rsidR="00802C7D" w:rsidRPr="00802C7D">
          <w:pgSz w:w="11906" w:h="16838"/>
          <w:pgMar w:top="1020" w:right="1701" w:bottom="1020" w:left="1587" w:header="601" w:footer="1077" w:gutter="0"/>
          <w:cols w:space="720"/>
          <w:titlePg/>
          <w:docGrid w:linePitch="326"/>
        </w:sectPr>
      </w:pPr>
    </w:p>
    <w:p w14:paraId="537EB996" w14:textId="77777777" w:rsidR="00ED7CC5" w:rsidRDefault="00ED7CC5" w:rsidP="00CC4F14">
      <w:pPr>
        <w:pStyle w:val="HistTableHeading"/>
        <w:spacing w:after="0"/>
        <w:rPr>
          <w:sz w:val="28"/>
          <w:szCs w:val="28"/>
          <w:lang w:eastAsia="en-US"/>
        </w:rPr>
      </w:pPr>
      <w:r w:rsidRPr="00ED7CC5">
        <w:rPr>
          <w:sz w:val="28"/>
          <w:szCs w:val="28"/>
          <w:lang w:eastAsia="en-US"/>
        </w:rPr>
        <w:lastRenderedPageBreak/>
        <w:t>Annex I</w:t>
      </w:r>
      <w:r w:rsidR="00802C7D">
        <w:rPr>
          <w:sz w:val="28"/>
          <w:szCs w:val="28"/>
          <w:lang w:eastAsia="en-US"/>
        </w:rPr>
        <w:t>I</w:t>
      </w:r>
      <w:r w:rsidRPr="00ED7CC5">
        <w:rPr>
          <w:sz w:val="28"/>
          <w:szCs w:val="28"/>
          <w:lang w:eastAsia="en-US"/>
        </w:rPr>
        <w:t>I</w:t>
      </w:r>
      <w:r w:rsidR="00CA360A">
        <w:rPr>
          <w:sz w:val="28"/>
          <w:szCs w:val="28"/>
          <w:lang w:eastAsia="en-US"/>
        </w:rPr>
        <w:t xml:space="preserve"> </w:t>
      </w:r>
    </w:p>
    <w:p w14:paraId="3FA28DAD" w14:textId="77777777" w:rsidR="00CA360A" w:rsidRPr="00A20237" w:rsidRDefault="00CA360A" w:rsidP="00CC4F14">
      <w:pPr>
        <w:pStyle w:val="HistoryTable"/>
        <w:spacing w:before="0" w:after="0"/>
        <w:rPr>
          <w:b/>
          <w:sz w:val="24"/>
          <w:szCs w:val="24"/>
          <w:lang w:eastAsia="en-US"/>
        </w:rPr>
      </w:pPr>
      <w:r w:rsidRPr="00A20237">
        <w:rPr>
          <w:b/>
          <w:sz w:val="24"/>
          <w:szCs w:val="24"/>
          <w:lang w:eastAsia="en-US"/>
        </w:rPr>
        <w:t>Table 1: example of meta-SPC with grouping of co-formulants</w:t>
      </w:r>
    </w:p>
    <w:tbl>
      <w:tblPr>
        <w:tblW w:w="9823" w:type="dxa"/>
        <w:tblInd w:w="55" w:type="dxa"/>
        <w:tblCellMar>
          <w:left w:w="0" w:type="dxa"/>
          <w:right w:w="0" w:type="dxa"/>
        </w:tblCellMar>
        <w:tblLook w:val="04A0" w:firstRow="1" w:lastRow="0" w:firstColumn="1" w:lastColumn="0" w:noHBand="0" w:noVBand="1"/>
      </w:tblPr>
      <w:tblGrid>
        <w:gridCol w:w="2067"/>
        <w:gridCol w:w="1076"/>
        <w:gridCol w:w="1248"/>
        <w:gridCol w:w="764"/>
        <w:gridCol w:w="780"/>
        <w:gridCol w:w="776"/>
        <w:gridCol w:w="780"/>
        <w:gridCol w:w="776"/>
        <w:gridCol w:w="780"/>
        <w:gridCol w:w="776"/>
      </w:tblGrid>
      <w:tr w:rsidR="00CA360A" w:rsidRPr="003B66AB" w14:paraId="46D86B7E" w14:textId="77777777" w:rsidTr="0087212A">
        <w:trPr>
          <w:trHeight w:val="619"/>
        </w:trPr>
        <w:tc>
          <w:tcPr>
            <w:tcW w:w="206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14:paraId="5A220C0C" w14:textId="77777777" w:rsidR="00CA360A" w:rsidRDefault="00CA360A" w:rsidP="0087212A">
            <w:pPr>
              <w:rPr>
                <w:b/>
                <w:bCs/>
                <w:color w:val="0046AD"/>
                <w:lang w:eastAsia="de-AT"/>
              </w:rPr>
            </w:pPr>
          </w:p>
        </w:tc>
        <w:tc>
          <w:tcPr>
            <w:tcW w:w="2324"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7351F45" w14:textId="77777777" w:rsidR="00CA360A" w:rsidRDefault="00CA360A" w:rsidP="0087212A">
            <w:pPr>
              <w:rPr>
                <w:b/>
                <w:bCs/>
                <w:color w:val="0046AD"/>
                <w:lang w:eastAsia="de-AT"/>
              </w:rPr>
            </w:pPr>
            <w:r>
              <w:rPr>
                <w:b/>
                <w:bCs/>
                <w:color w:val="0046AD"/>
                <w:lang w:eastAsia="de-AT"/>
              </w:rPr>
              <w:t>Level 2 - Meta SPC</w:t>
            </w:r>
          </w:p>
        </w:tc>
        <w:tc>
          <w:tcPr>
            <w:tcW w:w="5432" w:type="dxa"/>
            <w:gridSpan w:val="7"/>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BFD7E04" w14:textId="77777777" w:rsidR="00CA360A" w:rsidRDefault="00CA360A" w:rsidP="0087212A">
            <w:pPr>
              <w:rPr>
                <w:b/>
                <w:bCs/>
                <w:color w:val="0046AD"/>
                <w:lang w:eastAsia="de-AT"/>
              </w:rPr>
            </w:pPr>
            <w:r>
              <w:rPr>
                <w:b/>
                <w:bCs/>
                <w:color w:val="0046AD"/>
                <w:lang w:eastAsia="de-AT"/>
              </w:rPr>
              <w:t>Level 3 - Individual Products within the meta SPC</w:t>
            </w:r>
          </w:p>
        </w:tc>
      </w:tr>
      <w:tr w:rsidR="00CA360A" w14:paraId="26CC338B" w14:textId="77777777" w:rsidTr="0087212A">
        <w:trPr>
          <w:trHeight w:val="619"/>
        </w:trPr>
        <w:tc>
          <w:tcPr>
            <w:tcW w:w="20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A0AD57" w14:textId="77777777" w:rsidR="00CA360A" w:rsidRDefault="00CA360A" w:rsidP="0087212A">
            <w:pPr>
              <w:rPr>
                <w:b/>
                <w:bCs/>
                <w:color w:val="0046AD"/>
                <w:lang w:eastAsia="de-AT"/>
              </w:rPr>
            </w:pPr>
            <w:r>
              <w:rPr>
                <w:b/>
                <w:bCs/>
                <w:color w:val="0046AD"/>
                <w:lang w:eastAsia="de-AT"/>
              </w:rPr>
              <w:t>Function</w:t>
            </w:r>
          </w:p>
        </w:tc>
        <w:tc>
          <w:tcPr>
            <w:tcW w:w="1076" w:type="dxa"/>
            <w:tcBorders>
              <w:top w:val="nil"/>
              <w:left w:val="nil"/>
              <w:bottom w:val="single" w:sz="8" w:space="0" w:color="auto"/>
              <w:right w:val="single" w:sz="8" w:space="0" w:color="auto"/>
            </w:tcBorders>
            <w:tcMar>
              <w:top w:w="0" w:type="dxa"/>
              <w:left w:w="70" w:type="dxa"/>
              <w:bottom w:w="0" w:type="dxa"/>
              <w:right w:w="70" w:type="dxa"/>
            </w:tcMar>
            <w:hideMark/>
          </w:tcPr>
          <w:p w14:paraId="6A26EA60" w14:textId="77777777" w:rsidR="00CA360A" w:rsidRDefault="00CA360A" w:rsidP="0087212A">
            <w:pPr>
              <w:rPr>
                <w:b/>
                <w:bCs/>
                <w:color w:val="0046AD"/>
                <w:lang w:eastAsia="de-AT"/>
              </w:rPr>
            </w:pPr>
            <w:r>
              <w:rPr>
                <w:b/>
                <w:bCs/>
                <w:color w:val="0046AD"/>
                <w:lang w:eastAsia="de-AT"/>
              </w:rPr>
              <w:t>min(%)</w:t>
            </w:r>
          </w:p>
        </w:tc>
        <w:tc>
          <w:tcPr>
            <w:tcW w:w="1248" w:type="dxa"/>
            <w:tcBorders>
              <w:top w:val="nil"/>
              <w:left w:val="nil"/>
              <w:bottom w:val="single" w:sz="8" w:space="0" w:color="auto"/>
              <w:right w:val="single" w:sz="8" w:space="0" w:color="auto"/>
            </w:tcBorders>
            <w:tcMar>
              <w:top w:w="0" w:type="dxa"/>
              <w:left w:w="70" w:type="dxa"/>
              <w:bottom w:w="0" w:type="dxa"/>
              <w:right w:w="70" w:type="dxa"/>
            </w:tcMar>
            <w:hideMark/>
          </w:tcPr>
          <w:p w14:paraId="71FA43CE" w14:textId="77777777" w:rsidR="00CA360A" w:rsidRDefault="00CA360A" w:rsidP="0087212A">
            <w:pPr>
              <w:rPr>
                <w:b/>
                <w:bCs/>
                <w:color w:val="0046AD"/>
                <w:lang w:eastAsia="de-AT"/>
              </w:rPr>
            </w:pPr>
            <w:r>
              <w:rPr>
                <w:b/>
                <w:bCs/>
                <w:color w:val="0046AD"/>
                <w:lang w:eastAsia="de-AT"/>
              </w:rPr>
              <w:t>max(%)</w:t>
            </w:r>
          </w:p>
        </w:tc>
        <w:tc>
          <w:tcPr>
            <w:tcW w:w="764" w:type="dxa"/>
            <w:tcBorders>
              <w:top w:val="nil"/>
              <w:left w:val="nil"/>
              <w:bottom w:val="single" w:sz="8" w:space="0" w:color="auto"/>
              <w:right w:val="single" w:sz="8" w:space="0" w:color="auto"/>
            </w:tcBorders>
            <w:tcMar>
              <w:top w:w="0" w:type="dxa"/>
              <w:left w:w="70" w:type="dxa"/>
              <w:bottom w:w="0" w:type="dxa"/>
              <w:right w:w="70" w:type="dxa"/>
            </w:tcMar>
            <w:hideMark/>
          </w:tcPr>
          <w:p w14:paraId="29083B5C" w14:textId="77777777" w:rsidR="00CA360A" w:rsidRDefault="00CA360A" w:rsidP="0087212A">
            <w:pPr>
              <w:rPr>
                <w:lang w:eastAsia="de-AT"/>
              </w:rPr>
            </w:pPr>
            <w:r>
              <w:rPr>
                <w:lang w:eastAsia="de-AT"/>
              </w:rPr>
              <w:t>1</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3BDA0646" w14:textId="77777777" w:rsidR="00CA360A" w:rsidRDefault="00CA360A" w:rsidP="0087212A">
            <w:pPr>
              <w:rPr>
                <w:lang w:eastAsia="de-AT"/>
              </w:rPr>
            </w:pPr>
            <w:r>
              <w:rPr>
                <w:lang w:eastAsia="de-AT"/>
              </w:rPr>
              <w:t>2</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362F7AB4" w14:textId="77777777" w:rsidR="00CA360A" w:rsidRDefault="00CA360A" w:rsidP="0087212A">
            <w:pPr>
              <w:rPr>
                <w:lang w:eastAsia="de-AT"/>
              </w:rPr>
            </w:pPr>
            <w:r>
              <w:rPr>
                <w:lang w:eastAsia="de-AT"/>
              </w:rPr>
              <w:t>3</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56832BF9" w14:textId="77777777" w:rsidR="00CA360A" w:rsidRDefault="00CA360A" w:rsidP="0087212A">
            <w:pPr>
              <w:rPr>
                <w:lang w:eastAsia="de-AT"/>
              </w:rPr>
            </w:pPr>
            <w:r>
              <w:rPr>
                <w:lang w:eastAsia="de-AT"/>
              </w:rPr>
              <w:t>4</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013ACE78" w14:textId="77777777" w:rsidR="00CA360A" w:rsidRDefault="00CA360A" w:rsidP="0087212A">
            <w:pPr>
              <w:rPr>
                <w:lang w:eastAsia="de-AT"/>
              </w:rPr>
            </w:pPr>
            <w:r>
              <w:rPr>
                <w:lang w:eastAsia="de-AT"/>
              </w:rPr>
              <w:t>5</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480F915C" w14:textId="77777777" w:rsidR="00CA360A" w:rsidRDefault="00CA360A" w:rsidP="0087212A">
            <w:pPr>
              <w:rPr>
                <w:lang w:eastAsia="de-AT"/>
              </w:rPr>
            </w:pPr>
            <w:r>
              <w:rPr>
                <w:lang w:eastAsia="de-AT"/>
              </w:rPr>
              <w:t>6</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18484001" w14:textId="77777777" w:rsidR="00CA360A" w:rsidRDefault="00CA360A" w:rsidP="0087212A">
            <w:pPr>
              <w:rPr>
                <w:lang w:eastAsia="de-AT"/>
              </w:rPr>
            </w:pPr>
            <w:r>
              <w:rPr>
                <w:lang w:eastAsia="de-AT"/>
              </w:rPr>
              <w:t>7</w:t>
            </w:r>
          </w:p>
        </w:tc>
      </w:tr>
      <w:tr w:rsidR="00CA360A" w14:paraId="117027A5" w14:textId="77777777" w:rsidTr="0087212A">
        <w:trPr>
          <w:trHeight w:val="300"/>
        </w:trPr>
        <w:tc>
          <w:tcPr>
            <w:tcW w:w="20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E2126C" w14:textId="77777777" w:rsidR="00CA360A" w:rsidRDefault="00CA360A" w:rsidP="0087212A">
            <w:pPr>
              <w:rPr>
                <w:lang w:eastAsia="de-AT"/>
              </w:rPr>
            </w:pPr>
            <w:r>
              <w:rPr>
                <w:lang w:eastAsia="de-AT"/>
              </w:rPr>
              <w:t>Active Substance</w:t>
            </w:r>
          </w:p>
        </w:tc>
        <w:tc>
          <w:tcPr>
            <w:tcW w:w="1076" w:type="dxa"/>
            <w:tcBorders>
              <w:top w:val="nil"/>
              <w:left w:val="nil"/>
              <w:bottom w:val="single" w:sz="8" w:space="0" w:color="auto"/>
              <w:right w:val="single" w:sz="8" w:space="0" w:color="auto"/>
            </w:tcBorders>
            <w:tcMar>
              <w:top w:w="0" w:type="dxa"/>
              <w:left w:w="70" w:type="dxa"/>
              <w:bottom w:w="0" w:type="dxa"/>
              <w:right w:w="70" w:type="dxa"/>
            </w:tcMar>
            <w:hideMark/>
          </w:tcPr>
          <w:p w14:paraId="35E9722E" w14:textId="77777777" w:rsidR="00CA360A" w:rsidRDefault="00CA360A" w:rsidP="0087212A">
            <w:pPr>
              <w:rPr>
                <w:lang w:eastAsia="de-AT"/>
              </w:rPr>
            </w:pPr>
            <w:r>
              <w:rPr>
                <w:lang w:eastAsia="de-AT"/>
              </w:rPr>
              <w:t>0.15</w:t>
            </w:r>
          </w:p>
        </w:tc>
        <w:tc>
          <w:tcPr>
            <w:tcW w:w="1248" w:type="dxa"/>
            <w:tcBorders>
              <w:top w:val="nil"/>
              <w:left w:val="nil"/>
              <w:bottom w:val="single" w:sz="8" w:space="0" w:color="auto"/>
              <w:right w:val="single" w:sz="8" w:space="0" w:color="auto"/>
            </w:tcBorders>
            <w:tcMar>
              <w:top w:w="0" w:type="dxa"/>
              <w:left w:w="70" w:type="dxa"/>
              <w:bottom w:w="0" w:type="dxa"/>
              <w:right w:w="70" w:type="dxa"/>
            </w:tcMar>
            <w:hideMark/>
          </w:tcPr>
          <w:p w14:paraId="57CE2A59" w14:textId="77777777" w:rsidR="00CA360A" w:rsidRDefault="00CA360A" w:rsidP="0087212A">
            <w:pPr>
              <w:rPr>
                <w:lang w:eastAsia="de-AT"/>
              </w:rPr>
            </w:pPr>
            <w:r>
              <w:rPr>
                <w:lang w:eastAsia="de-AT"/>
              </w:rPr>
              <w:t>0.50</w:t>
            </w:r>
          </w:p>
        </w:tc>
        <w:tc>
          <w:tcPr>
            <w:tcW w:w="764" w:type="dxa"/>
            <w:tcBorders>
              <w:top w:val="nil"/>
              <w:left w:val="nil"/>
              <w:bottom w:val="single" w:sz="8" w:space="0" w:color="auto"/>
              <w:right w:val="single" w:sz="8" w:space="0" w:color="auto"/>
            </w:tcBorders>
            <w:tcMar>
              <w:top w:w="0" w:type="dxa"/>
              <w:left w:w="70" w:type="dxa"/>
              <w:bottom w:w="0" w:type="dxa"/>
              <w:right w:w="70" w:type="dxa"/>
            </w:tcMar>
            <w:hideMark/>
          </w:tcPr>
          <w:p w14:paraId="1B3B8ECC" w14:textId="77777777" w:rsidR="00CA360A" w:rsidRDefault="00CA360A" w:rsidP="0087212A">
            <w:pPr>
              <w:rPr>
                <w:lang w:eastAsia="de-AT"/>
              </w:rPr>
            </w:pPr>
            <w:r>
              <w:rPr>
                <w:lang w:eastAsia="de-AT"/>
              </w:rPr>
              <w:t>0.25</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56E1E241" w14:textId="77777777" w:rsidR="00CA360A" w:rsidRDefault="00CA360A" w:rsidP="0087212A">
            <w:pPr>
              <w:rPr>
                <w:lang w:eastAsia="de-AT"/>
              </w:rPr>
            </w:pPr>
            <w:r>
              <w:rPr>
                <w:lang w:eastAsia="de-AT"/>
              </w:rPr>
              <w:t>0.50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32B1AFA8" w14:textId="77777777" w:rsidR="00CA360A" w:rsidRDefault="00CA360A" w:rsidP="0087212A">
            <w:pPr>
              <w:rPr>
                <w:lang w:eastAsia="de-AT"/>
              </w:rPr>
            </w:pPr>
            <w:r>
              <w:rPr>
                <w:lang w:eastAsia="de-AT"/>
              </w:rPr>
              <w:t>0.15</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65AC83EA" w14:textId="77777777" w:rsidR="00CA360A" w:rsidRDefault="00CA360A" w:rsidP="0087212A">
            <w:pPr>
              <w:rPr>
                <w:lang w:eastAsia="de-AT"/>
              </w:rPr>
            </w:pPr>
            <w:r>
              <w:rPr>
                <w:lang w:eastAsia="de-AT"/>
              </w:rPr>
              <w:t>0.30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264D9794" w14:textId="77777777" w:rsidR="00CA360A" w:rsidRDefault="00CA360A" w:rsidP="0087212A">
            <w:pPr>
              <w:rPr>
                <w:lang w:eastAsia="de-AT"/>
              </w:rPr>
            </w:pPr>
            <w:r>
              <w:rPr>
                <w:lang w:eastAsia="de-AT"/>
              </w:rPr>
              <w:t>0.15</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09BCCE01" w14:textId="77777777" w:rsidR="00CA360A" w:rsidRDefault="00CA360A" w:rsidP="0087212A">
            <w:pPr>
              <w:rPr>
                <w:lang w:eastAsia="de-AT"/>
              </w:rPr>
            </w:pPr>
            <w:r>
              <w:rPr>
                <w:lang w:eastAsia="de-AT"/>
              </w:rPr>
              <w:t>0.45</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2B37A98C" w14:textId="77777777" w:rsidR="00CA360A" w:rsidRDefault="00CA360A" w:rsidP="0087212A">
            <w:pPr>
              <w:rPr>
                <w:lang w:eastAsia="de-AT"/>
              </w:rPr>
            </w:pPr>
            <w:r>
              <w:rPr>
                <w:lang w:eastAsia="de-AT"/>
              </w:rPr>
              <w:t>0.30</w:t>
            </w:r>
          </w:p>
        </w:tc>
      </w:tr>
      <w:tr w:rsidR="00CA360A" w14:paraId="594075C2" w14:textId="77777777" w:rsidTr="0087212A">
        <w:trPr>
          <w:trHeight w:val="390"/>
        </w:trPr>
        <w:tc>
          <w:tcPr>
            <w:tcW w:w="2067" w:type="dxa"/>
            <w:tcBorders>
              <w:top w:val="single" w:sz="8" w:space="0" w:color="auto"/>
              <w:left w:val="single" w:sz="8" w:space="0" w:color="auto"/>
              <w:right w:val="single" w:sz="8" w:space="0" w:color="auto"/>
            </w:tcBorders>
            <w:tcMar>
              <w:top w:w="0" w:type="dxa"/>
              <w:left w:w="70" w:type="dxa"/>
              <w:bottom w:w="0" w:type="dxa"/>
              <w:right w:w="70" w:type="dxa"/>
            </w:tcMar>
            <w:hideMark/>
          </w:tcPr>
          <w:p w14:paraId="16AD98DF" w14:textId="77777777" w:rsidR="00CA360A" w:rsidRPr="003572BC" w:rsidRDefault="00CA360A" w:rsidP="0087212A">
            <w:pPr>
              <w:rPr>
                <w:b/>
                <w:bCs/>
                <w:lang w:eastAsia="de-AT"/>
              </w:rPr>
            </w:pPr>
            <w:r w:rsidRPr="00A632C7">
              <w:rPr>
                <w:b/>
                <w:bCs/>
                <w:lang w:eastAsia="de-AT"/>
              </w:rPr>
              <w:t>Complexing Agents</w:t>
            </w:r>
          </w:p>
        </w:tc>
        <w:tc>
          <w:tcPr>
            <w:tcW w:w="1076" w:type="dxa"/>
            <w:tcBorders>
              <w:top w:val="single" w:sz="8" w:space="0" w:color="auto"/>
              <w:left w:val="nil"/>
              <w:right w:val="single" w:sz="8" w:space="0" w:color="auto"/>
            </w:tcBorders>
            <w:tcMar>
              <w:top w:w="0" w:type="dxa"/>
              <w:left w:w="70" w:type="dxa"/>
              <w:bottom w:w="0" w:type="dxa"/>
              <w:right w:w="70" w:type="dxa"/>
            </w:tcMar>
            <w:hideMark/>
          </w:tcPr>
          <w:p w14:paraId="1CCE51C5" w14:textId="77777777" w:rsidR="00CA360A" w:rsidRDefault="00CA360A" w:rsidP="0087212A">
            <w:pPr>
              <w:rPr>
                <w:b/>
                <w:bCs/>
                <w:lang w:eastAsia="de-AT"/>
              </w:rPr>
            </w:pPr>
            <w:r>
              <w:rPr>
                <w:b/>
                <w:bCs/>
                <w:lang w:eastAsia="de-AT"/>
              </w:rPr>
              <w:t>1.00</w:t>
            </w:r>
          </w:p>
        </w:tc>
        <w:tc>
          <w:tcPr>
            <w:tcW w:w="1248" w:type="dxa"/>
            <w:tcBorders>
              <w:top w:val="single" w:sz="8" w:space="0" w:color="auto"/>
              <w:left w:val="nil"/>
              <w:right w:val="single" w:sz="8" w:space="0" w:color="auto"/>
            </w:tcBorders>
            <w:tcMar>
              <w:top w:w="0" w:type="dxa"/>
              <w:left w:w="70" w:type="dxa"/>
              <w:bottom w:w="0" w:type="dxa"/>
              <w:right w:w="70" w:type="dxa"/>
            </w:tcMar>
            <w:hideMark/>
          </w:tcPr>
          <w:p w14:paraId="3223B33B" w14:textId="77777777" w:rsidR="00CA360A" w:rsidRDefault="00CA360A" w:rsidP="0087212A">
            <w:pPr>
              <w:rPr>
                <w:b/>
                <w:bCs/>
                <w:lang w:eastAsia="de-AT"/>
              </w:rPr>
            </w:pPr>
            <w:r>
              <w:rPr>
                <w:b/>
                <w:bCs/>
                <w:lang w:eastAsia="de-AT"/>
              </w:rPr>
              <w:t>3.00</w:t>
            </w:r>
          </w:p>
        </w:tc>
        <w:tc>
          <w:tcPr>
            <w:tcW w:w="764" w:type="dxa"/>
            <w:tcBorders>
              <w:top w:val="single" w:sz="8" w:space="0" w:color="auto"/>
              <w:left w:val="nil"/>
              <w:right w:val="single" w:sz="8" w:space="0" w:color="auto"/>
            </w:tcBorders>
            <w:tcMar>
              <w:top w:w="0" w:type="dxa"/>
              <w:left w:w="70" w:type="dxa"/>
              <w:bottom w:w="0" w:type="dxa"/>
              <w:right w:w="70" w:type="dxa"/>
            </w:tcMar>
          </w:tcPr>
          <w:p w14:paraId="1E9FAEE9" w14:textId="77777777" w:rsidR="00CA360A" w:rsidRDefault="00CA360A" w:rsidP="0087212A">
            <w:pPr>
              <w:rPr>
                <w:lang w:eastAsia="de-AT"/>
              </w:rPr>
            </w:pPr>
          </w:p>
        </w:tc>
        <w:tc>
          <w:tcPr>
            <w:tcW w:w="780" w:type="dxa"/>
            <w:tcBorders>
              <w:top w:val="single" w:sz="8" w:space="0" w:color="auto"/>
              <w:left w:val="nil"/>
              <w:right w:val="single" w:sz="8" w:space="0" w:color="auto"/>
            </w:tcBorders>
            <w:tcMar>
              <w:top w:w="0" w:type="dxa"/>
              <w:left w:w="70" w:type="dxa"/>
              <w:bottom w:w="0" w:type="dxa"/>
              <w:right w:w="70" w:type="dxa"/>
            </w:tcMar>
          </w:tcPr>
          <w:p w14:paraId="6F05D744" w14:textId="77777777" w:rsidR="00CA360A" w:rsidRDefault="00CA360A" w:rsidP="0087212A">
            <w:pPr>
              <w:rPr>
                <w:lang w:eastAsia="de-AT"/>
              </w:rPr>
            </w:pPr>
          </w:p>
        </w:tc>
        <w:tc>
          <w:tcPr>
            <w:tcW w:w="776" w:type="dxa"/>
            <w:tcBorders>
              <w:top w:val="single" w:sz="8" w:space="0" w:color="auto"/>
              <w:left w:val="nil"/>
              <w:right w:val="single" w:sz="8" w:space="0" w:color="auto"/>
            </w:tcBorders>
            <w:tcMar>
              <w:top w:w="0" w:type="dxa"/>
              <w:left w:w="70" w:type="dxa"/>
              <w:bottom w:w="0" w:type="dxa"/>
              <w:right w:w="70" w:type="dxa"/>
            </w:tcMar>
          </w:tcPr>
          <w:p w14:paraId="4E203580" w14:textId="77777777" w:rsidR="00CA360A" w:rsidRDefault="00CA360A" w:rsidP="0087212A">
            <w:pPr>
              <w:rPr>
                <w:lang w:eastAsia="de-AT"/>
              </w:rPr>
            </w:pPr>
          </w:p>
        </w:tc>
        <w:tc>
          <w:tcPr>
            <w:tcW w:w="780" w:type="dxa"/>
            <w:tcBorders>
              <w:top w:val="single" w:sz="8" w:space="0" w:color="auto"/>
              <w:left w:val="nil"/>
              <w:right w:val="single" w:sz="8" w:space="0" w:color="auto"/>
            </w:tcBorders>
            <w:tcMar>
              <w:top w:w="0" w:type="dxa"/>
              <w:left w:w="70" w:type="dxa"/>
              <w:bottom w:w="0" w:type="dxa"/>
              <w:right w:w="70" w:type="dxa"/>
            </w:tcMar>
          </w:tcPr>
          <w:p w14:paraId="44B15B9F" w14:textId="77777777" w:rsidR="00CA360A" w:rsidRDefault="00CA360A" w:rsidP="0087212A">
            <w:pPr>
              <w:rPr>
                <w:lang w:eastAsia="de-AT"/>
              </w:rPr>
            </w:pPr>
          </w:p>
        </w:tc>
        <w:tc>
          <w:tcPr>
            <w:tcW w:w="776" w:type="dxa"/>
            <w:tcBorders>
              <w:top w:val="single" w:sz="8" w:space="0" w:color="auto"/>
              <w:left w:val="nil"/>
              <w:right w:val="single" w:sz="8" w:space="0" w:color="auto"/>
            </w:tcBorders>
            <w:tcMar>
              <w:top w:w="0" w:type="dxa"/>
              <w:left w:w="70" w:type="dxa"/>
              <w:bottom w:w="0" w:type="dxa"/>
              <w:right w:w="70" w:type="dxa"/>
            </w:tcMar>
          </w:tcPr>
          <w:p w14:paraId="6314C0B8" w14:textId="77777777" w:rsidR="00CA360A" w:rsidRDefault="00CA360A" w:rsidP="0087212A">
            <w:pPr>
              <w:rPr>
                <w:lang w:eastAsia="de-AT"/>
              </w:rPr>
            </w:pPr>
          </w:p>
        </w:tc>
        <w:tc>
          <w:tcPr>
            <w:tcW w:w="780" w:type="dxa"/>
            <w:tcBorders>
              <w:top w:val="single" w:sz="8" w:space="0" w:color="auto"/>
              <w:left w:val="nil"/>
              <w:right w:val="single" w:sz="8" w:space="0" w:color="auto"/>
            </w:tcBorders>
            <w:tcMar>
              <w:top w:w="0" w:type="dxa"/>
              <w:left w:w="70" w:type="dxa"/>
              <w:bottom w:w="0" w:type="dxa"/>
              <w:right w:w="70" w:type="dxa"/>
            </w:tcMar>
          </w:tcPr>
          <w:p w14:paraId="2E324A81" w14:textId="77777777" w:rsidR="00CA360A" w:rsidRDefault="00CA360A" w:rsidP="0087212A">
            <w:pPr>
              <w:rPr>
                <w:lang w:eastAsia="de-AT"/>
              </w:rPr>
            </w:pPr>
          </w:p>
        </w:tc>
        <w:tc>
          <w:tcPr>
            <w:tcW w:w="776" w:type="dxa"/>
            <w:tcBorders>
              <w:top w:val="single" w:sz="8" w:space="0" w:color="auto"/>
              <w:left w:val="nil"/>
              <w:right w:val="single" w:sz="8" w:space="0" w:color="auto"/>
            </w:tcBorders>
            <w:tcMar>
              <w:top w:w="0" w:type="dxa"/>
              <w:left w:w="70" w:type="dxa"/>
              <w:bottom w:w="0" w:type="dxa"/>
              <w:right w:w="70" w:type="dxa"/>
            </w:tcMar>
          </w:tcPr>
          <w:p w14:paraId="5A6113C6" w14:textId="77777777" w:rsidR="00CA360A" w:rsidRDefault="00CA360A" w:rsidP="0087212A">
            <w:pPr>
              <w:rPr>
                <w:lang w:eastAsia="de-AT"/>
              </w:rPr>
            </w:pPr>
          </w:p>
        </w:tc>
      </w:tr>
      <w:tr w:rsidR="00CA360A" w:rsidRPr="003B66AB" w14:paraId="7605A20F" w14:textId="77777777" w:rsidTr="0087212A">
        <w:trPr>
          <w:trHeight w:val="390"/>
        </w:trPr>
        <w:tc>
          <w:tcPr>
            <w:tcW w:w="4391"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18F283B9" w14:textId="77777777" w:rsidR="00CA360A" w:rsidRPr="00FB1F38" w:rsidRDefault="00CA360A" w:rsidP="0087212A">
            <w:pPr>
              <w:rPr>
                <w:b/>
                <w:bCs/>
                <w:lang w:eastAsia="de-AT"/>
              </w:rPr>
            </w:pPr>
            <w:r>
              <w:rPr>
                <w:sz w:val="20"/>
              </w:rPr>
              <w:t>A and B can only be used alter</w:t>
            </w:r>
            <w:r w:rsidRPr="003572BC">
              <w:rPr>
                <w:sz w:val="20"/>
              </w:rPr>
              <w:t>natively. The content of th</w:t>
            </w:r>
            <w:r>
              <w:rPr>
                <w:sz w:val="20"/>
              </w:rPr>
              <w:t>e complexing agent in the formu</w:t>
            </w:r>
            <w:r w:rsidRPr="003572BC">
              <w:rPr>
                <w:sz w:val="20"/>
              </w:rPr>
              <w:t>lation should be in the range of 1.00 to 3.00</w:t>
            </w:r>
          </w:p>
        </w:tc>
        <w:tc>
          <w:tcPr>
            <w:tcW w:w="764" w:type="dxa"/>
            <w:tcBorders>
              <w:top w:val="nil"/>
              <w:left w:val="nil"/>
              <w:bottom w:val="single" w:sz="8" w:space="0" w:color="auto"/>
              <w:right w:val="single" w:sz="8" w:space="0" w:color="auto"/>
            </w:tcBorders>
            <w:tcMar>
              <w:top w:w="0" w:type="dxa"/>
              <w:left w:w="70" w:type="dxa"/>
              <w:bottom w:w="0" w:type="dxa"/>
              <w:right w:w="70" w:type="dxa"/>
            </w:tcMar>
          </w:tcPr>
          <w:p w14:paraId="2AB4076E" w14:textId="77777777" w:rsidR="00CA360A" w:rsidRPr="00FB1F38" w:rsidRDefault="00CA360A" w:rsidP="0087212A">
            <w:pPr>
              <w:rPr>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tcPr>
          <w:p w14:paraId="578DDBC7" w14:textId="77777777" w:rsidR="00CA360A" w:rsidRPr="00FB1F38" w:rsidRDefault="00CA360A" w:rsidP="0087212A">
            <w:pPr>
              <w:rPr>
                <w:lang w:eastAsia="de-AT"/>
              </w:rPr>
            </w:pPr>
          </w:p>
        </w:tc>
        <w:tc>
          <w:tcPr>
            <w:tcW w:w="776" w:type="dxa"/>
            <w:tcBorders>
              <w:top w:val="nil"/>
              <w:left w:val="nil"/>
              <w:bottom w:val="single" w:sz="8" w:space="0" w:color="auto"/>
              <w:right w:val="single" w:sz="8" w:space="0" w:color="auto"/>
            </w:tcBorders>
            <w:tcMar>
              <w:top w:w="0" w:type="dxa"/>
              <w:left w:w="70" w:type="dxa"/>
              <w:bottom w:w="0" w:type="dxa"/>
              <w:right w:w="70" w:type="dxa"/>
            </w:tcMar>
          </w:tcPr>
          <w:p w14:paraId="783552CE" w14:textId="77777777" w:rsidR="00CA360A" w:rsidRPr="00FB1F38" w:rsidRDefault="00CA360A" w:rsidP="0087212A">
            <w:pPr>
              <w:rPr>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tcPr>
          <w:p w14:paraId="30B6B028" w14:textId="77777777" w:rsidR="00CA360A" w:rsidRPr="00FB1F38" w:rsidRDefault="00CA360A" w:rsidP="0087212A">
            <w:pPr>
              <w:rPr>
                <w:lang w:eastAsia="de-AT"/>
              </w:rPr>
            </w:pPr>
          </w:p>
        </w:tc>
        <w:tc>
          <w:tcPr>
            <w:tcW w:w="776" w:type="dxa"/>
            <w:tcBorders>
              <w:top w:val="nil"/>
              <w:left w:val="nil"/>
              <w:bottom w:val="single" w:sz="8" w:space="0" w:color="auto"/>
              <w:right w:val="single" w:sz="8" w:space="0" w:color="auto"/>
            </w:tcBorders>
            <w:tcMar>
              <w:top w:w="0" w:type="dxa"/>
              <w:left w:w="70" w:type="dxa"/>
              <w:bottom w:w="0" w:type="dxa"/>
              <w:right w:w="70" w:type="dxa"/>
            </w:tcMar>
          </w:tcPr>
          <w:p w14:paraId="6B90CA2B" w14:textId="77777777" w:rsidR="00CA360A" w:rsidRPr="00FB1F38" w:rsidRDefault="00CA360A" w:rsidP="0087212A">
            <w:pPr>
              <w:rPr>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tcPr>
          <w:p w14:paraId="2CA8B315" w14:textId="77777777" w:rsidR="00CA360A" w:rsidRPr="00FB1F38" w:rsidRDefault="00CA360A" w:rsidP="0087212A">
            <w:pPr>
              <w:rPr>
                <w:lang w:eastAsia="de-AT"/>
              </w:rPr>
            </w:pPr>
          </w:p>
        </w:tc>
        <w:tc>
          <w:tcPr>
            <w:tcW w:w="776" w:type="dxa"/>
            <w:tcBorders>
              <w:top w:val="nil"/>
              <w:left w:val="nil"/>
              <w:bottom w:val="single" w:sz="8" w:space="0" w:color="auto"/>
              <w:right w:val="single" w:sz="8" w:space="0" w:color="auto"/>
            </w:tcBorders>
            <w:tcMar>
              <w:top w:w="0" w:type="dxa"/>
              <w:left w:w="70" w:type="dxa"/>
              <w:bottom w:w="0" w:type="dxa"/>
              <w:right w:w="70" w:type="dxa"/>
            </w:tcMar>
          </w:tcPr>
          <w:p w14:paraId="5EEAEFFD" w14:textId="77777777" w:rsidR="00CA360A" w:rsidRPr="00FB1F38" w:rsidRDefault="00CA360A" w:rsidP="0087212A">
            <w:pPr>
              <w:rPr>
                <w:lang w:eastAsia="de-AT"/>
              </w:rPr>
            </w:pPr>
          </w:p>
        </w:tc>
      </w:tr>
      <w:tr w:rsidR="00CA360A" w14:paraId="23F289EA" w14:textId="77777777" w:rsidTr="0087212A">
        <w:trPr>
          <w:trHeight w:val="565"/>
        </w:trPr>
        <w:tc>
          <w:tcPr>
            <w:tcW w:w="20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2721E5" w14:textId="77777777" w:rsidR="00CA360A" w:rsidRDefault="00CA360A" w:rsidP="0087212A">
            <w:pPr>
              <w:spacing w:after="120"/>
              <w:rPr>
                <w:lang w:eastAsia="de-AT"/>
              </w:rPr>
            </w:pPr>
            <w:r>
              <w:rPr>
                <w:lang w:eastAsia="de-AT"/>
              </w:rPr>
              <w:t>Complexing agent A</w:t>
            </w:r>
          </w:p>
          <w:p w14:paraId="654C1F30" w14:textId="77777777" w:rsidR="00CA360A" w:rsidRDefault="00CA360A" w:rsidP="0087212A">
            <w:pPr>
              <w:spacing w:after="120"/>
              <w:rPr>
                <w:lang w:eastAsia="de-AT"/>
              </w:rPr>
            </w:pPr>
            <w:r>
              <w:rPr>
                <w:lang w:eastAsia="de-AT"/>
              </w:rPr>
              <w:t>Complexing agent B</w:t>
            </w:r>
          </w:p>
        </w:tc>
        <w:tc>
          <w:tcPr>
            <w:tcW w:w="1076" w:type="dxa"/>
            <w:tcBorders>
              <w:top w:val="nil"/>
              <w:left w:val="nil"/>
              <w:bottom w:val="single" w:sz="8" w:space="0" w:color="auto"/>
              <w:right w:val="single" w:sz="8" w:space="0" w:color="auto"/>
            </w:tcBorders>
            <w:tcMar>
              <w:top w:w="0" w:type="dxa"/>
              <w:left w:w="70" w:type="dxa"/>
              <w:bottom w:w="0" w:type="dxa"/>
              <w:right w:w="70" w:type="dxa"/>
            </w:tcMar>
            <w:hideMark/>
          </w:tcPr>
          <w:p w14:paraId="34555BD7" w14:textId="77777777" w:rsidR="00CA360A" w:rsidRDefault="00CA360A" w:rsidP="0087212A">
            <w:pPr>
              <w:spacing w:after="120"/>
              <w:rPr>
                <w:lang w:eastAsia="de-AT"/>
              </w:rPr>
            </w:pPr>
            <w:r>
              <w:rPr>
                <w:lang w:eastAsia="de-AT"/>
              </w:rPr>
              <w:t>0.00</w:t>
            </w:r>
          </w:p>
          <w:p w14:paraId="49B1140E" w14:textId="77777777" w:rsidR="00CA360A" w:rsidRDefault="00CA360A" w:rsidP="0087212A">
            <w:pPr>
              <w:spacing w:after="120"/>
              <w:rPr>
                <w:lang w:eastAsia="de-AT"/>
              </w:rPr>
            </w:pPr>
            <w:r>
              <w:rPr>
                <w:lang w:eastAsia="de-AT"/>
              </w:rPr>
              <w:t>0.00</w:t>
            </w:r>
          </w:p>
        </w:tc>
        <w:tc>
          <w:tcPr>
            <w:tcW w:w="1248" w:type="dxa"/>
            <w:tcBorders>
              <w:top w:val="nil"/>
              <w:left w:val="nil"/>
              <w:bottom w:val="single" w:sz="8" w:space="0" w:color="auto"/>
              <w:right w:val="single" w:sz="8" w:space="0" w:color="auto"/>
            </w:tcBorders>
            <w:tcMar>
              <w:top w:w="0" w:type="dxa"/>
              <w:left w:w="70" w:type="dxa"/>
              <w:bottom w:w="0" w:type="dxa"/>
              <w:right w:w="70" w:type="dxa"/>
            </w:tcMar>
            <w:hideMark/>
          </w:tcPr>
          <w:p w14:paraId="295B4BD5" w14:textId="77777777" w:rsidR="00CA360A" w:rsidRDefault="00CA360A" w:rsidP="0087212A">
            <w:pPr>
              <w:spacing w:after="120"/>
              <w:rPr>
                <w:lang w:eastAsia="de-AT"/>
              </w:rPr>
            </w:pPr>
            <w:r>
              <w:rPr>
                <w:lang w:eastAsia="de-AT"/>
              </w:rPr>
              <w:t>3.00</w:t>
            </w:r>
          </w:p>
          <w:p w14:paraId="2E78EFB0" w14:textId="77777777" w:rsidR="00CA360A" w:rsidRDefault="00CA360A" w:rsidP="0087212A">
            <w:pPr>
              <w:spacing w:after="120"/>
              <w:rPr>
                <w:lang w:eastAsia="de-AT"/>
              </w:rPr>
            </w:pPr>
            <w:r>
              <w:rPr>
                <w:lang w:eastAsia="de-AT"/>
              </w:rPr>
              <w:t>1.90</w:t>
            </w:r>
          </w:p>
        </w:tc>
        <w:tc>
          <w:tcPr>
            <w:tcW w:w="764" w:type="dxa"/>
            <w:tcBorders>
              <w:top w:val="nil"/>
              <w:left w:val="nil"/>
              <w:bottom w:val="single" w:sz="8" w:space="0" w:color="auto"/>
              <w:right w:val="single" w:sz="8" w:space="0" w:color="auto"/>
            </w:tcBorders>
            <w:tcMar>
              <w:top w:w="0" w:type="dxa"/>
              <w:left w:w="70" w:type="dxa"/>
              <w:bottom w:w="0" w:type="dxa"/>
              <w:right w:w="70" w:type="dxa"/>
            </w:tcMar>
          </w:tcPr>
          <w:p w14:paraId="70900D73" w14:textId="77777777" w:rsidR="00CA360A" w:rsidRDefault="00CA360A" w:rsidP="0087212A">
            <w:pPr>
              <w:spacing w:after="120"/>
              <w:rPr>
                <w:lang w:eastAsia="de-AT"/>
              </w:rPr>
            </w:pPr>
          </w:p>
          <w:p w14:paraId="6160DECD" w14:textId="77777777" w:rsidR="00CA360A" w:rsidRDefault="00CA360A" w:rsidP="0087212A">
            <w:pPr>
              <w:spacing w:after="120"/>
              <w:rPr>
                <w:lang w:eastAsia="de-AT"/>
              </w:rPr>
            </w:pPr>
            <w:r>
              <w:rPr>
                <w:lang w:eastAsia="de-AT"/>
              </w:rPr>
              <w:t>1.90</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5C503936" w14:textId="77777777" w:rsidR="00CA360A" w:rsidRDefault="00CA360A" w:rsidP="0087212A">
            <w:pPr>
              <w:spacing w:after="120"/>
              <w:rPr>
                <w:lang w:eastAsia="de-AT"/>
              </w:rPr>
            </w:pPr>
            <w:r>
              <w:rPr>
                <w:lang w:eastAsia="de-AT"/>
              </w:rPr>
              <w:t>1.00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0CAFA530" w14:textId="77777777" w:rsidR="00CA360A" w:rsidRDefault="00CA360A" w:rsidP="0087212A">
            <w:pPr>
              <w:spacing w:after="120"/>
              <w:rPr>
                <w:lang w:eastAsia="de-AT"/>
              </w:rPr>
            </w:pPr>
            <w:r>
              <w:rPr>
                <w:lang w:eastAsia="de-AT"/>
              </w:rPr>
              <w:t>1.50</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4960CA60" w14:textId="77777777" w:rsidR="00CA360A" w:rsidRDefault="00CA360A" w:rsidP="0087212A">
            <w:pPr>
              <w:spacing w:after="120"/>
              <w:rPr>
                <w:lang w:eastAsia="de-AT"/>
              </w:rPr>
            </w:pPr>
            <w:r>
              <w:rPr>
                <w:lang w:eastAsia="de-AT"/>
              </w:rPr>
              <w:t>1.00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21409799" w14:textId="77777777" w:rsidR="00CA360A" w:rsidRDefault="00CA360A" w:rsidP="0087212A">
            <w:pPr>
              <w:spacing w:after="120"/>
              <w:rPr>
                <w:lang w:eastAsia="de-AT"/>
              </w:rPr>
            </w:pPr>
            <w:r>
              <w:rPr>
                <w:lang w:eastAsia="de-AT"/>
              </w:rPr>
              <w:t>3.00</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46049070" w14:textId="77777777" w:rsidR="00CA360A" w:rsidRDefault="00CA360A" w:rsidP="0087212A">
            <w:pPr>
              <w:spacing w:after="120"/>
              <w:rPr>
                <w:lang w:eastAsia="de-AT"/>
              </w:rPr>
            </w:pPr>
            <w:r>
              <w:rPr>
                <w:lang w:eastAsia="de-AT"/>
              </w:rPr>
              <w:t>2.50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3825F9F2" w14:textId="77777777" w:rsidR="00CA360A" w:rsidRDefault="00CA360A" w:rsidP="0087212A">
            <w:pPr>
              <w:spacing w:after="120"/>
              <w:rPr>
                <w:lang w:eastAsia="de-AT"/>
              </w:rPr>
            </w:pPr>
            <w:r>
              <w:rPr>
                <w:lang w:eastAsia="de-AT"/>
              </w:rPr>
              <w:t>2.50</w:t>
            </w:r>
          </w:p>
        </w:tc>
      </w:tr>
      <w:tr w:rsidR="00CA360A" w14:paraId="2B5350CF" w14:textId="77777777" w:rsidTr="0087212A">
        <w:trPr>
          <w:trHeight w:val="300"/>
        </w:trPr>
        <w:tc>
          <w:tcPr>
            <w:tcW w:w="2067" w:type="dxa"/>
            <w:tcBorders>
              <w:top w:val="nil"/>
              <w:left w:val="single" w:sz="8" w:space="0" w:color="auto"/>
              <w:bottom w:val="nil"/>
              <w:right w:val="single" w:sz="8" w:space="0" w:color="auto"/>
            </w:tcBorders>
            <w:tcMar>
              <w:top w:w="0" w:type="dxa"/>
              <w:left w:w="70" w:type="dxa"/>
              <w:bottom w:w="0" w:type="dxa"/>
              <w:right w:w="70" w:type="dxa"/>
            </w:tcMar>
            <w:hideMark/>
          </w:tcPr>
          <w:p w14:paraId="2AA1970C" w14:textId="77777777" w:rsidR="00CA360A" w:rsidRPr="00A632C7" w:rsidRDefault="00CA360A" w:rsidP="0087212A">
            <w:pPr>
              <w:rPr>
                <w:bCs/>
                <w:lang w:eastAsia="de-AT"/>
              </w:rPr>
            </w:pPr>
            <w:r w:rsidRPr="00A632C7">
              <w:rPr>
                <w:b/>
                <w:bCs/>
                <w:lang w:eastAsia="de-AT"/>
              </w:rPr>
              <w:t>Thickeners</w:t>
            </w:r>
          </w:p>
        </w:tc>
        <w:tc>
          <w:tcPr>
            <w:tcW w:w="1076" w:type="dxa"/>
            <w:tcBorders>
              <w:top w:val="nil"/>
              <w:left w:val="nil"/>
              <w:bottom w:val="nil"/>
              <w:right w:val="single" w:sz="8" w:space="0" w:color="auto"/>
            </w:tcBorders>
            <w:tcMar>
              <w:top w:w="0" w:type="dxa"/>
              <w:left w:w="70" w:type="dxa"/>
              <w:bottom w:w="0" w:type="dxa"/>
              <w:right w:w="70" w:type="dxa"/>
            </w:tcMar>
            <w:hideMark/>
          </w:tcPr>
          <w:p w14:paraId="142C7450" w14:textId="77777777" w:rsidR="00CA360A" w:rsidRDefault="00CA360A" w:rsidP="0087212A">
            <w:pPr>
              <w:rPr>
                <w:b/>
                <w:bCs/>
                <w:lang w:eastAsia="de-AT"/>
              </w:rPr>
            </w:pPr>
            <w:r>
              <w:rPr>
                <w:b/>
                <w:bCs/>
                <w:lang w:eastAsia="de-AT"/>
              </w:rPr>
              <w:t>0.50</w:t>
            </w:r>
          </w:p>
        </w:tc>
        <w:tc>
          <w:tcPr>
            <w:tcW w:w="1248" w:type="dxa"/>
            <w:tcBorders>
              <w:top w:val="nil"/>
              <w:left w:val="nil"/>
              <w:bottom w:val="nil"/>
              <w:right w:val="single" w:sz="8" w:space="0" w:color="auto"/>
            </w:tcBorders>
            <w:tcMar>
              <w:top w:w="0" w:type="dxa"/>
              <w:left w:w="70" w:type="dxa"/>
              <w:bottom w:w="0" w:type="dxa"/>
              <w:right w:w="70" w:type="dxa"/>
            </w:tcMar>
            <w:hideMark/>
          </w:tcPr>
          <w:p w14:paraId="0876E972" w14:textId="77777777" w:rsidR="00CA360A" w:rsidRDefault="00CA360A" w:rsidP="0087212A">
            <w:pPr>
              <w:rPr>
                <w:b/>
                <w:bCs/>
                <w:lang w:eastAsia="de-AT"/>
              </w:rPr>
            </w:pPr>
            <w:r>
              <w:rPr>
                <w:b/>
                <w:bCs/>
                <w:lang w:eastAsia="de-AT"/>
              </w:rPr>
              <w:t>1.00</w:t>
            </w:r>
          </w:p>
        </w:tc>
        <w:tc>
          <w:tcPr>
            <w:tcW w:w="764" w:type="dxa"/>
            <w:tcBorders>
              <w:top w:val="nil"/>
              <w:left w:val="nil"/>
              <w:bottom w:val="nil"/>
              <w:right w:val="single" w:sz="8" w:space="0" w:color="auto"/>
            </w:tcBorders>
            <w:tcMar>
              <w:top w:w="0" w:type="dxa"/>
              <w:left w:w="70" w:type="dxa"/>
              <w:bottom w:w="0" w:type="dxa"/>
              <w:right w:w="70" w:type="dxa"/>
            </w:tcMar>
          </w:tcPr>
          <w:p w14:paraId="54E67FB9" w14:textId="77777777" w:rsidR="00CA360A" w:rsidRDefault="00CA360A" w:rsidP="0087212A">
            <w:pPr>
              <w:rPr>
                <w:lang w:eastAsia="de-AT"/>
              </w:rPr>
            </w:pPr>
          </w:p>
        </w:tc>
        <w:tc>
          <w:tcPr>
            <w:tcW w:w="780" w:type="dxa"/>
            <w:tcBorders>
              <w:top w:val="nil"/>
              <w:left w:val="nil"/>
              <w:bottom w:val="nil"/>
              <w:right w:val="single" w:sz="8" w:space="0" w:color="auto"/>
            </w:tcBorders>
            <w:tcMar>
              <w:top w:w="0" w:type="dxa"/>
              <w:left w:w="70" w:type="dxa"/>
              <w:bottom w:w="0" w:type="dxa"/>
              <w:right w:w="70" w:type="dxa"/>
            </w:tcMar>
          </w:tcPr>
          <w:p w14:paraId="29BEB6B9" w14:textId="77777777" w:rsidR="00CA360A" w:rsidRDefault="00CA360A" w:rsidP="0087212A">
            <w:pPr>
              <w:rPr>
                <w:lang w:eastAsia="de-AT"/>
              </w:rPr>
            </w:pPr>
          </w:p>
        </w:tc>
        <w:tc>
          <w:tcPr>
            <w:tcW w:w="776" w:type="dxa"/>
            <w:tcBorders>
              <w:top w:val="nil"/>
              <w:left w:val="nil"/>
              <w:bottom w:val="nil"/>
              <w:right w:val="single" w:sz="8" w:space="0" w:color="auto"/>
            </w:tcBorders>
            <w:tcMar>
              <w:top w:w="0" w:type="dxa"/>
              <w:left w:w="70" w:type="dxa"/>
              <w:bottom w:w="0" w:type="dxa"/>
              <w:right w:w="70" w:type="dxa"/>
            </w:tcMar>
          </w:tcPr>
          <w:p w14:paraId="14749ADF" w14:textId="77777777" w:rsidR="00CA360A" w:rsidRDefault="00CA360A" w:rsidP="0087212A">
            <w:pPr>
              <w:rPr>
                <w:lang w:eastAsia="de-AT"/>
              </w:rPr>
            </w:pPr>
          </w:p>
        </w:tc>
        <w:tc>
          <w:tcPr>
            <w:tcW w:w="780" w:type="dxa"/>
            <w:tcBorders>
              <w:top w:val="nil"/>
              <w:left w:val="nil"/>
              <w:bottom w:val="nil"/>
              <w:right w:val="single" w:sz="8" w:space="0" w:color="auto"/>
            </w:tcBorders>
            <w:tcMar>
              <w:top w:w="0" w:type="dxa"/>
              <w:left w:w="70" w:type="dxa"/>
              <w:bottom w:w="0" w:type="dxa"/>
              <w:right w:w="70" w:type="dxa"/>
            </w:tcMar>
          </w:tcPr>
          <w:p w14:paraId="5866114F" w14:textId="77777777" w:rsidR="00CA360A" w:rsidRDefault="00CA360A" w:rsidP="0087212A">
            <w:pPr>
              <w:rPr>
                <w:lang w:eastAsia="de-AT"/>
              </w:rPr>
            </w:pPr>
          </w:p>
        </w:tc>
        <w:tc>
          <w:tcPr>
            <w:tcW w:w="776" w:type="dxa"/>
            <w:tcBorders>
              <w:top w:val="nil"/>
              <w:left w:val="nil"/>
              <w:bottom w:val="nil"/>
              <w:right w:val="single" w:sz="8" w:space="0" w:color="auto"/>
            </w:tcBorders>
            <w:tcMar>
              <w:top w:w="0" w:type="dxa"/>
              <w:left w:w="70" w:type="dxa"/>
              <w:bottom w:w="0" w:type="dxa"/>
              <w:right w:w="70" w:type="dxa"/>
            </w:tcMar>
          </w:tcPr>
          <w:p w14:paraId="5EB2FBA8" w14:textId="77777777" w:rsidR="00CA360A" w:rsidRDefault="00CA360A" w:rsidP="0087212A">
            <w:pPr>
              <w:rPr>
                <w:lang w:eastAsia="de-AT"/>
              </w:rPr>
            </w:pPr>
          </w:p>
        </w:tc>
        <w:tc>
          <w:tcPr>
            <w:tcW w:w="780" w:type="dxa"/>
            <w:tcBorders>
              <w:top w:val="nil"/>
              <w:left w:val="nil"/>
              <w:bottom w:val="nil"/>
              <w:right w:val="single" w:sz="8" w:space="0" w:color="auto"/>
            </w:tcBorders>
            <w:tcMar>
              <w:top w:w="0" w:type="dxa"/>
              <w:left w:w="70" w:type="dxa"/>
              <w:bottom w:w="0" w:type="dxa"/>
              <w:right w:w="70" w:type="dxa"/>
            </w:tcMar>
          </w:tcPr>
          <w:p w14:paraId="136D54D2" w14:textId="77777777" w:rsidR="00CA360A" w:rsidRDefault="00CA360A" w:rsidP="0087212A">
            <w:pPr>
              <w:rPr>
                <w:lang w:eastAsia="de-AT"/>
              </w:rPr>
            </w:pPr>
          </w:p>
        </w:tc>
        <w:tc>
          <w:tcPr>
            <w:tcW w:w="776" w:type="dxa"/>
            <w:tcBorders>
              <w:top w:val="nil"/>
              <w:left w:val="nil"/>
              <w:bottom w:val="nil"/>
              <w:right w:val="single" w:sz="8" w:space="0" w:color="auto"/>
            </w:tcBorders>
            <w:tcMar>
              <w:top w:w="0" w:type="dxa"/>
              <w:left w:w="70" w:type="dxa"/>
              <w:bottom w:w="0" w:type="dxa"/>
              <w:right w:w="70" w:type="dxa"/>
            </w:tcMar>
          </w:tcPr>
          <w:p w14:paraId="645BA845" w14:textId="77777777" w:rsidR="00CA360A" w:rsidRDefault="00CA360A" w:rsidP="0087212A">
            <w:pPr>
              <w:rPr>
                <w:lang w:eastAsia="de-AT"/>
              </w:rPr>
            </w:pPr>
          </w:p>
        </w:tc>
      </w:tr>
      <w:tr w:rsidR="00CA360A" w:rsidRPr="00482973" w14:paraId="3666A99D" w14:textId="77777777" w:rsidTr="0087212A">
        <w:trPr>
          <w:trHeight w:val="300"/>
        </w:trPr>
        <w:tc>
          <w:tcPr>
            <w:tcW w:w="4391" w:type="dxa"/>
            <w:gridSpan w:val="3"/>
            <w:tcBorders>
              <w:top w:val="nil"/>
              <w:left w:val="single" w:sz="8" w:space="0" w:color="auto"/>
              <w:bottom w:val="nil"/>
              <w:right w:val="single" w:sz="8" w:space="0" w:color="auto"/>
            </w:tcBorders>
            <w:tcMar>
              <w:top w:w="0" w:type="dxa"/>
              <w:left w:w="70" w:type="dxa"/>
              <w:bottom w:w="0" w:type="dxa"/>
              <w:right w:w="70" w:type="dxa"/>
            </w:tcMar>
          </w:tcPr>
          <w:p w14:paraId="364FE4B3" w14:textId="77777777" w:rsidR="00CA360A" w:rsidRPr="00FB1F38" w:rsidRDefault="00CA360A" w:rsidP="0087212A">
            <w:pPr>
              <w:rPr>
                <w:b/>
                <w:bCs/>
                <w:sz w:val="20"/>
                <w:lang w:eastAsia="de-AT"/>
              </w:rPr>
            </w:pPr>
            <w:r>
              <w:rPr>
                <w:bCs/>
                <w:sz w:val="20"/>
                <w:lang w:eastAsia="de-AT"/>
              </w:rPr>
              <w:t>A and B can be used either alter</w:t>
            </w:r>
            <w:r w:rsidRPr="00070FA9">
              <w:rPr>
                <w:bCs/>
                <w:sz w:val="20"/>
                <w:lang w:eastAsia="de-AT"/>
              </w:rPr>
              <w:t xml:space="preserve">natively or </w:t>
            </w:r>
            <w:r>
              <w:rPr>
                <w:bCs/>
                <w:sz w:val="20"/>
                <w:lang w:eastAsia="de-AT"/>
              </w:rPr>
              <w:t>in combination</w:t>
            </w:r>
            <w:r w:rsidRPr="00070FA9">
              <w:rPr>
                <w:bCs/>
                <w:sz w:val="20"/>
                <w:lang w:eastAsia="de-AT"/>
              </w:rPr>
              <w:t>. The total content of thickeners in the formulation should be in the range of 0.</w:t>
            </w:r>
            <w:r>
              <w:rPr>
                <w:bCs/>
                <w:sz w:val="20"/>
                <w:lang w:eastAsia="de-AT"/>
              </w:rPr>
              <w:t>50</w:t>
            </w:r>
            <w:r w:rsidRPr="00070FA9">
              <w:rPr>
                <w:bCs/>
                <w:sz w:val="20"/>
                <w:lang w:eastAsia="de-AT"/>
              </w:rPr>
              <w:t xml:space="preserve"> to 1.00</w:t>
            </w:r>
          </w:p>
        </w:tc>
        <w:tc>
          <w:tcPr>
            <w:tcW w:w="764" w:type="dxa"/>
            <w:tcBorders>
              <w:top w:val="nil"/>
              <w:left w:val="nil"/>
              <w:bottom w:val="nil"/>
              <w:right w:val="single" w:sz="8" w:space="0" w:color="auto"/>
            </w:tcBorders>
            <w:tcMar>
              <w:top w:w="0" w:type="dxa"/>
              <w:left w:w="70" w:type="dxa"/>
              <w:bottom w:w="0" w:type="dxa"/>
              <w:right w:w="70" w:type="dxa"/>
            </w:tcMar>
          </w:tcPr>
          <w:p w14:paraId="32057627" w14:textId="77777777" w:rsidR="00CA360A" w:rsidRPr="00FB1F38" w:rsidRDefault="00CA360A" w:rsidP="0087212A">
            <w:pPr>
              <w:rPr>
                <w:lang w:eastAsia="de-AT"/>
              </w:rPr>
            </w:pPr>
          </w:p>
        </w:tc>
        <w:tc>
          <w:tcPr>
            <w:tcW w:w="780" w:type="dxa"/>
            <w:tcBorders>
              <w:top w:val="nil"/>
              <w:left w:val="nil"/>
              <w:bottom w:val="nil"/>
              <w:right w:val="single" w:sz="8" w:space="0" w:color="auto"/>
            </w:tcBorders>
            <w:tcMar>
              <w:top w:w="0" w:type="dxa"/>
              <w:left w:w="70" w:type="dxa"/>
              <w:bottom w:w="0" w:type="dxa"/>
              <w:right w:w="70" w:type="dxa"/>
            </w:tcMar>
          </w:tcPr>
          <w:p w14:paraId="169288D1" w14:textId="77777777" w:rsidR="00CA360A" w:rsidRPr="00FB1F38" w:rsidRDefault="00CA360A" w:rsidP="0087212A">
            <w:pPr>
              <w:rPr>
                <w:lang w:eastAsia="de-AT"/>
              </w:rPr>
            </w:pPr>
          </w:p>
        </w:tc>
        <w:tc>
          <w:tcPr>
            <w:tcW w:w="776" w:type="dxa"/>
            <w:tcBorders>
              <w:top w:val="nil"/>
              <w:left w:val="nil"/>
              <w:bottom w:val="nil"/>
              <w:right w:val="single" w:sz="8" w:space="0" w:color="auto"/>
            </w:tcBorders>
            <w:tcMar>
              <w:top w:w="0" w:type="dxa"/>
              <w:left w:w="70" w:type="dxa"/>
              <w:bottom w:w="0" w:type="dxa"/>
              <w:right w:w="70" w:type="dxa"/>
            </w:tcMar>
          </w:tcPr>
          <w:p w14:paraId="0E977AD1" w14:textId="77777777" w:rsidR="00CA360A" w:rsidRPr="00FB1F38" w:rsidRDefault="00CA360A" w:rsidP="0087212A">
            <w:pPr>
              <w:rPr>
                <w:lang w:eastAsia="de-AT"/>
              </w:rPr>
            </w:pPr>
          </w:p>
        </w:tc>
        <w:tc>
          <w:tcPr>
            <w:tcW w:w="780" w:type="dxa"/>
            <w:tcBorders>
              <w:top w:val="nil"/>
              <w:left w:val="nil"/>
              <w:bottom w:val="nil"/>
              <w:right w:val="single" w:sz="8" w:space="0" w:color="auto"/>
            </w:tcBorders>
            <w:tcMar>
              <w:top w:w="0" w:type="dxa"/>
              <w:left w:w="70" w:type="dxa"/>
              <w:bottom w:w="0" w:type="dxa"/>
              <w:right w:w="70" w:type="dxa"/>
            </w:tcMar>
          </w:tcPr>
          <w:p w14:paraId="644F62F0" w14:textId="77777777" w:rsidR="00CA360A" w:rsidRPr="00FB1F38" w:rsidRDefault="00CA360A" w:rsidP="0087212A">
            <w:pPr>
              <w:rPr>
                <w:lang w:eastAsia="de-AT"/>
              </w:rPr>
            </w:pPr>
          </w:p>
        </w:tc>
        <w:tc>
          <w:tcPr>
            <w:tcW w:w="776" w:type="dxa"/>
            <w:tcBorders>
              <w:top w:val="nil"/>
              <w:left w:val="nil"/>
              <w:bottom w:val="nil"/>
              <w:right w:val="single" w:sz="8" w:space="0" w:color="auto"/>
            </w:tcBorders>
            <w:tcMar>
              <w:top w:w="0" w:type="dxa"/>
              <w:left w:w="70" w:type="dxa"/>
              <w:bottom w:w="0" w:type="dxa"/>
              <w:right w:w="70" w:type="dxa"/>
            </w:tcMar>
          </w:tcPr>
          <w:p w14:paraId="5493882C" w14:textId="77777777" w:rsidR="00CA360A" w:rsidRPr="00FB1F38" w:rsidRDefault="00CA360A" w:rsidP="0087212A">
            <w:pPr>
              <w:rPr>
                <w:lang w:eastAsia="de-AT"/>
              </w:rPr>
            </w:pPr>
          </w:p>
        </w:tc>
        <w:tc>
          <w:tcPr>
            <w:tcW w:w="780" w:type="dxa"/>
            <w:tcBorders>
              <w:top w:val="nil"/>
              <w:left w:val="nil"/>
              <w:bottom w:val="nil"/>
              <w:right w:val="single" w:sz="8" w:space="0" w:color="auto"/>
            </w:tcBorders>
            <w:tcMar>
              <w:top w:w="0" w:type="dxa"/>
              <w:left w:w="70" w:type="dxa"/>
              <w:bottom w:w="0" w:type="dxa"/>
              <w:right w:w="70" w:type="dxa"/>
            </w:tcMar>
          </w:tcPr>
          <w:p w14:paraId="3ADBEAE8" w14:textId="77777777" w:rsidR="00CA360A" w:rsidRPr="00FB1F38" w:rsidRDefault="00CA360A" w:rsidP="0087212A">
            <w:pPr>
              <w:rPr>
                <w:lang w:eastAsia="de-AT"/>
              </w:rPr>
            </w:pPr>
          </w:p>
        </w:tc>
        <w:tc>
          <w:tcPr>
            <w:tcW w:w="776" w:type="dxa"/>
            <w:tcBorders>
              <w:top w:val="nil"/>
              <w:left w:val="nil"/>
              <w:bottom w:val="nil"/>
              <w:right w:val="single" w:sz="8" w:space="0" w:color="auto"/>
            </w:tcBorders>
            <w:tcMar>
              <w:top w:w="0" w:type="dxa"/>
              <w:left w:w="70" w:type="dxa"/>
              <w:bottom w:w="0" w:type="dxa"/>
              <w:right w:w="70" w:type="dxa"/>
            </w:tcMar>
          </w:tcPr>
          <w:p w14:paraId="21CFA7D7" w14:textId="77777777" w:rsidR="00CA360A" w:rsidRPr="00FB1F38" w:rsidRDefault="00CA360A" w:rsidP="0087212A">
            <w:pPr>
              <w:rPr>
                <w:lang w:eastAsia="de-AT"/>
              </w:rPr>
            </w:pPr>
          </w:p>
        </w:tc>
      </w:tr>
      <w:tr w:rsidR="00CA360A" w:rsidRPr="000952E0" w14:paraId="6C6E6421" w14:textId="77777777" w:rsidTr="0087212A">
        <w:trPr>
          <w:trHeight w:val="300"/>
        </w:trPr>
        <w:tc>
          <w:tcPr>
            <w:tcW w:w="2067"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14:paraId="1B85C2F4" w14:textId="77777777" w:rsidR="00CA360A" w:rsidRPr="00555EB1" w:rsidRDefault="00CA360A" w:rsidP="0087212A">
            <w:pPr>
              <w:rPr>
                <w:lang w:eastAsia="de-AT"/>
              </w:rPr>
            </w:pPr>
            <w:r w:rsidRPr="00555EB1">
              <w:rPr>
                <w:lang w:eastAsia="de-AT"/>
              </w:rPr>
              <w:t>Thickener A</w:t>
            </w:r>
          </w:p>
        </w:tc>
        <w:tc>
          <w:tcPr>
            <w:tcW w:w="1076" w:type="dxa"/>
            <w:tcBorders>
              <w:top w:val="single" w:sz="8" w:space="0" w:color="auto"/>
              <w:left w:val="nil"/>
              <w:bottom w:val="nil"/>
              <w:right w:val="single" w:sz="8" w:space="0" w:color="auto"/>
            </w:tcBorders>
            <w:tcMar>
              <w:top w:w="0" w:type="dxa"/>
              <w:left w:w="70" w:type="dxa"/>
              <w:bottom w:w="0" w:type="dxa"/>
              <w:right w:w="70" w:type="dxa"/>
            </w:tcMar>
            <w:hideMark/>
          </w:tcPr>
          <w:p w14:paraId="7594D916" w14:textId="77777777" w:rsidR="00CA360A" w:rsidRPr="00555EB1" w:rsidRDefault="00CA360A" w:rsidP="0087212A">
            <w:pPr>
              <w:rPr>
                <w:lang w:eastAsia="de-AT"/>
              </w:rPr>
            </w:pPr>
            <w:r w:rsidRPr="00555EB1">
              <w:rPr>
                <w:lang w:eastAsia="de-AT"/>
              </w:rPr>
              <w:t>0.00</w:t>
            </w:r>
          </w:p>
        </w:tc>
        <w:tc>
          <w:tcPr>
            <w:tcW w:w="1248" w:type="dxa"/>
            <w:tcBorders>
              <w:top w:val="single" w:sz="8" w:space="0" w:color="auto"/>
              <w:left w:val="nil"/>
              <w:bottom w:val="nil"/>
              <w:right w:val="single" w:sz="8" w:space="0" w:color="auto"/>
            </w:tcBorders>
            <w:tcMar>
              <w:top w:w="0" w:type="dxa"/>
              <w:left w:w="70" w:type="dxa"/>
              <w:bottom w:w="0" w:type="dxa"/>
              <w:right w:w="70" w:type="dxa"/>
            </w:tcMar>
            <w:hideMark/>
          </w:tcPr>
          <w:p w14:paraId="6A592803" w14:textId="77777777" w:rsidR="00CA360A" w:rsidRPr="00555EB1" w:rsidRDefault="00CA360A" w:rsidP="0087212A">
            <w:pPr>
              <w:rPr>
                <w:lang w:eastAsia="de-AT"/>
              </w:rPr>
            </w:pPr>
            <w:r w:rsidRPr="00555EB1">
              <w:rPr>
                <w:lang w:eastAsia="de-AT"/>
              </w:rPr>
              <w:t>1.00</w:t>
            </w:r>
          </w:p>
        </w:tc>
        <w:tc>
          <w:tcPr>
            <w:tcW w:w="764" w:type="dxa"/>
            <w:tcBorders>
              <w:top w:val="single" w:sz="8" w:space="0" w:color="auto"/>
              <w:left w:val="nil"/>
              <w:bottom w:val="nil"/>
              <w:right w:val="single" w:sz="8" w:space="0" w:color="auto"/>
            </w:tcBorders>
            <w:tcMar>
              <w:top w:w="0" w:type="dxa"/>
              <w:left w:w="70" w:type="dxa"/>
              <w:bottom w:w="0" w:type="dxa"/>
              <w:right w:w="70" w:type="dxa"/>
            </w:tcMar>
            <w:hideMark/>
          </w:tcPr>
          <w:p w14:paraId="7960E137" w14:textId="77777777" w:rsidR="00CA360A" w:rsidRPr="00555EB1" w:rsidRDefault="00CA360A" w:rsidP="0087212A">
            <w:pPr>
              <w:rPr>
                <w:lang w:eastAsia="de-AT"/>
              </w:rPr>
            </w:pPr>
          </w:p>
        </w:tc>
        <w:tc>
          <w:tcPr>
            <w:tcW w:w="780" w:type="dxa"/>
            <w:tcBorders>
              <w:top w:val="single" w:sz="8" w:space="0" w:color="auto"/>
              <w:left w:val="nil"/>
              <w:bottom w:val="nil"/>
              <w:right w:val="single" w:sz="8" w:space="0" w:color="auto"/>
            </w:tcBorders>
            <w:tcMar>
              <w:top w:w="0" w:type="dxa"/>
              <w:left w:w="70" w:type="dxa"/>
              <w:bottom w:w="0" w:type="dxa"/>
              <w:right w:w="70" w:type="dxa"/>
            </w:tcMar>
            <w:hideMark/>
          </w:tcPr>
          <w:p w14:paraId="14ACEAED" w14:textId="77777777" w:rsidR="00CA360A" w:rsidRPr="00555EB1" w:rsidRDefault="00CA360A" w:rsidP="0087212A">
            <w:pPr>
              <w:spacing w:after="0"/>
              <w:rPr>
                <w:sz w:val="20"/>
                <w:lang w:eastAsia="de-DE"/>
              </w:rPr>
            </w:pPr>
          </w:p>
        </w:tc>
        <w:tc>
          <w:tcPr>
            <w:tcW w:w="776" w:type="dxa"/>
            <w:tcBorders>
              <w:top w:val="single" w:sz="8" w:space="0" w:color="auto"/>
              <w:left w:val="nil"/>
              <w:bottom w:val="nil"/>
              <w:right w:val="single" w:sz="8" w:space="0" w:color="auto"/>
            </w:tcBorders>
            <w:tcMar>
              <w:top w:w="0" w:type="dxa"/>
              <w:left w:w="70" w:type="dxa"/>
              <w:bottom w:w="0" w:type="dxa"/>
              <w:right w:w="70" w:type="dxa"/>
            </w:tcMar>
            <w:hideMark/>
          </w:tcPr>
          <w:p w14:paraId="48BD47F6" w14:textId="77777777" w:rsidR="00CA360A" w:rsidRPr="00555EB1" w:rsidRDefault="00CA360A" w:rsidP="0087212A">
            <w:pPr>
              <w:rPr>
                <w:sz w:val="20"/>
              </w:rPr>
            </w:pPr>
            <w:r w:rsidRPr="00555EB1">
              <w:rPr>
                <w:sz w:val="20"/>
              </w:rPr>
              <w:t>0.1</w:t>
            </w:r>
          </w:p>
        </w:tc>
        <w:tc>
          <w:tcPr>
            <w:tcW w:w="780" w:type="dxa"/>
            <w:tcBorders>
              <w:top w:val="single" w:sz="8" w:space="0" w:color="auto"/>
              <w:left w:val="nil"/>
              <w:bottom w:val="nil"/>
              <w:right w:val="single" w:sz="8" w:space="0" w:color="auto"/>
            </w:tcBorders>
            <w:tcMar>
              <w:top w:w="0" w:type="dxa"/>
              <w:left w:w="70" w:type="dxa"/>
              <w:bottom w:w="0" w:type="dxa"/>
              <w:right w:w="70" w:type="dxa"/>
            </w:tcMar>
            <w:hideMark/>
          </w:tcPr>
          <w:p w14:paraId="207E753F" w14:textId="77777777" w:rsidR="00CA360A" w:rsidRPr="00555EB1" w:rsidRDefault="00CA360A" w:rsidP="0087212A">
            <w:pPr>
              <w:rPr>
                <w:sz w:val="20"/>
              </w:rPr>
            </w:pPr>
          </w:p>
        </w:tc>
        <w:tc>
          <w:tcPr>
            <w:tcW w:w="776" w:type="dxa"/>
            <w:tcBorders>
              <w:top w:val="single" w:sz="8" w:space="0" w:color="auto"/>
              <w:left w:val="nil"/>
              <w:bottom w:val="nil"/>
              <w:right w:val="single" w:sz="8" w:space="0" w:color="auto"/>
            </w:tcBorders>
            <w:tcMar>
              <w:top w:w="0" w:type="dxa"/>
              <w:left w:w="70" w:type="dxa"/>
              <w:bottom w:w="0" w:type="dxa"/>
              <w:right w:w="70" w:type="dxa"/>
            </w:tcMar>
            <w:hideMark/>
          </w:tcPr>
          <w:p w14:paraId="2E64B34D" w14:textId="77777777" w:rsidR="00CA360A" w:rsidRPr="00555EB1" w:rsidRDefault="00CA360A" w:rsidP="0087212A">
            <w:pPr>
              <w:rPr>
                <w:rFonts w:ascii="Calibri" w:hAnsi="Calibri"/>
                <w:lang w:eastAsia="de-AT"/>
              </w:rPr>
            </w:pPr>
            <w:r w:rsidRPr="00555EB1">
              <w:rPr>
                <w:lang w:eastAsia="de-AT"/>
              </w:rPr>
              <w:t>1.00</w:t>
            </w:r>
          </w:p>
        </w:tc>
        <w:tc>
          <w:tcPr>
            <w:tcW w:w="780" w:type="dxa"/>
            <w:tcBorders>
              <w:top w:val="single" w:sz="8" w:space="0" w:color="auto"/>
              <w:left w:val="nil"/>
              <w:bottom w:val="nil"/>
              <w:right w:val="single" w:sz="8" w:space="0" w:color="auto"/>
            </w:tcBorders>
            <w:tcMar>
              <w:top w:w="0" w:type="dxa"/>
              <w:left w:w="70" w:type="dxa"/>
              <w:bottom w:w="0" w:type="dxa"/>
              <w:right w:w="70" w:type="dxa"/>
            </w:tcMar>
            <w:hideMark/>
          </w:tcPr>
          <w:p w14:paraId="683F5A66" w14:textId="77777777" w:rsidR="00CA360A" w:rsidRPr="00555EB1" w:rsidRDefault="00CA360A" w:rsidP="0087212A">
            <w:pPr>
              <w:rPr>
                <w:rFonts w:ascii="Calibri" w:hAnsi="Calibri"/>
                <w:lang w:eastAsia="de-AT"/>
              </w:rPr>
            </w:pPr>
          </w:p>
        </w:tc>
        <w:tc>
          <w:tcPr>
            <w:tcW w:w="776" w:type="dxa"/>
            <w:tcBorders>
              <w:top w:val="single" w:sz="8" w:space="0" w:color="auto"/>
              <w:left w:val="nil"/>
              <w:bottom w:val="nil"/>
              <w:right w:val="single" w:sz="8" w:space="0" w:color="auto"/>
            </w:tcBorders>
            <w:tcMar>
              <w:top w:w="0" w:type="dxa"/>
              <w:left w:w="70" w:type="dxa"/>
              <w:bottom w:w="0" w:type="dxa"/>
              <w:right w:w="70" w:type="dxa"/>
            </w:tcMar>
            <w:hideMark/>
          </w:tcPr>
          <w:p w14:paraId="617BFB8E" w14:textId="77777777" w:rsidR="00CA360A" w:rsidRPr="00555EB1" w:rsidRDefault="00CA360A" w:rsidP="0087212A">
            <w:pPr>
              <w:spacing w:after="0"/>
              <w:rPr>
                <w:sz w:val="20"/>
                <w:lang w:eastAsia="de-DE"/>
              </w:rPr>
            </w:pPr>
          </w:p>
        </w:tc>
      </w:tr>
      <w:tr w:rsidR="00CA360A" w:rsidRPr="000952E0" w14:paraId="4C0F892F" w14:textId="77777777" w:rsidTr="0087212A">
        <w:trPr>
          <w:trHeight w:val="300"/>
        </w:trPr>
        <w:tc>
          <w:tcPr>
            <w:tcW w:w="20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043541" w14:textId="77777777" w:rsidR="00CA360A" w:rsidRPr="00555EB1" w:rsidRDefault="00CA360A" w:rsidP="0087212A">
            <w:pPr>
              <w:spacing w:after="120"/>
              <w:rPr>
                <w:rFonts w:ascii="Calibri" w:hAnsi="Calibri"/>
                <w:lang w:eastAsia="de-AT"/>
              </w:rPr>
            </w:pPr>
            <w:r w:rsidRPr="00555EB1">
              <w:rPr>
                <w:lang w:eastAsia="de-AT"/>
              </w:rPr>
              <w:t>Thickener B</w:t>
            </w:r>
          </w:p>
        </w:tc>
        <w:tc>
          <w:tcPr>
            <w:tcW w:w="1076" w:type="dxa"/>
            <w:tcBorders>
              <w:top w:val="nil"/>
              <w:left w:val="nil"/>
              <w:bottom w:val="single" w:sz="8" w:space="0" w:color="auto"/>
              <w:right w:val="single" w:sz="8" w:space="0" w:color="auto"/>
            </w:tcBorders>
            <w:tcMar>
              <w:top w:w="0" w:type="dxa"/>
              <w:left w:w="70" w:type="dxa"/>
              <w:bottom w:w="0" w:type="dxa"/>
              <w:right w:w="70" w:type="dxa"/>
            </w:tcMar>
            <w:hideMark/>
          </w:tcPr>
          <w:p w14:paraId="567BF4C6" w14:textId="77777777" w:rsidR="00CA360A" w:rsidRDefault="00CA360A" w:rsidP="0087212A">
            <w:pPr>
              <w:spacing w:after="120"/>
              <w:rPr>
                <w:lang w:eastAsia="de-AT"/>
              </w:rPr>
            </w:pPr>
            <w:r w:rsidRPr="00555EB1">
              <w:rPr>
                <w:lang w:eastAsia="de-AT"/>
              </w:rPr>
              <w:t>0.00</w:t>
            </w:r>
          </w:p>
        </w:tc>
        <w:tc>
          <w:tcPr>
            <w:tcW w:w="1248" w:type="dxa"/>
            <w:tcBorders>
              <w:top w:val="nil"/>
              <w:left w:val="nil"/>
              <w:bottom w:val="single" w:sz="8" w:space="0" w:color="auto"/>
              <w:right w:val="single" w:sz="8" w:space="0" w:color="auto"/>
            </w:tcBorders>
            <w:tcMar>
              <w:top w:w="0" w:type="dxa"/>
              <w:left w:w="70" w:type="dxa"/>
              <w:bottom w:w="0" w:type="dxa"/>
              <w:right w:w="70" w:type="dxa"/>
            </w:tcMar>
            <w:hideMark/>
          </w:tcPr>
          <w:p w14:paraId="6C6A3AED" w14:textId="77777777" w:rsidR="00CA360A" w:rsidRPr="00555EB1" w:rsidRDefault="00CA360A" w:rsidP="0087212A">
            <w:pPr>
              <w:spacing w:after="120"/>
              <w:rPr>
                <w:lang w:eastAsia="de-AT"/>
              </w:rPr>
            </w:pPr>
            <w:r w:rsidRPr="00555EB1">
              <w:rPr>
                <w:lang w:eastAsia="de-AT"/>
              </w:rPr>
              <w:t>0.75</w:t>
            </w:r>
          </w:p>
        </w:tc>
        <w:tc>
          <w:tcPr>
            <w:tcW w:w="764" w:type="dxa"/>
            <w:tcBorders>
              <w:top w:val="nil"/>
              <w:left w:val="nil"/>
              <w:bottom w:val="single" w:sz="8" w:space="0" w:color="auto"/>
              <w:right w:val="single" w:sz="8" w:space="0" w:color="auto"/>
            </w:tcBorders>
            <w:tcMar>
              <w:top w:w="0" w:type="dxa"/>
              <w:left w:w="70" w:type="dxa"/>
              <w:bottom w:w="0" w:type="dxa"/>
              <w:right w:w="70" w:type="dxa"/>
            </w:tcMar>
            <w:hideMark/>
          </w:tcPr>
          <w:p w14:paraId="42637E9F" w14:textId="77777777" w:rsidR="00CA360A" w:rsidRPr="00555EB1" w:rsidRDefault="00CA360A" w:rsidP="0087212A">
            <w:pPr>
              <w:spacing w:after="120"/>
              <w:rPr>
                <w:lang w:eastAsia="de-AT"/>
              </w:rPr>
            </w:pPr>
            <w:r w:rsidRPr="00555EB1">
              <w:rPr>
                <w:lang w:eastAsia="de-AT"/>
              </w:rPr>
              <w:t>0.50</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7DFD8295" w14:textId="77777777" w:rsidR="00CA360A" w:rsidRPr="00555EB1" w:rsidRDefault="00CA360A" w:rsidP="0087212A">
            <w:pPr>
              <w:spacing w:after="120"/>
              <w:rPr>
                <w:lang w:eastAsia="de-AT"/>
              </w:rPr>
            </w:pPr>
            <w:r w:rsidRPr="00555EB1">
              <w:rPr>
                <w:lang w:eastAsia="de-AT"/>
              </w:rPr>
              <w:t>0.50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018792C2" w14:textId="77777777" w:rsidR="00CA360A" w:rsidRPr="00555EB1" w:rsidRDefault="00CA360A" w:rsidP="0087212A">
            <w:pPr>
              <w:spacing w:after="120"/>
              <w:rPr>
                <w:lang w:eastAsia="de-AT"/>
              </w:rPr>
            </w:pPr>
            <w:r w:rsidRPr="00555EB1">
              <w:rPr>
                <w:lang w:eastAsia="de-AT"/>
              </w:rPr>
              <w:t>0.45</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4915BD12" w14:textId="77777777" w:rsidR="00CA360A" w:rsidRPr="00555EB1" w:rsidRDefault="00CA360A" w:rsidP="0087212A">
            <w:pPr>
              <w:spacing w:after="120"/>
              <w:rPr>
                <w:lang w:eastAsia="de-AT"/>
              </w:rPr>
            </w:pPr>
            <w:r w:rsidRPr="00555EB1">
              <w:rPr>
                <w:lang w:eastAsia="de-AT"/>
              </w:rPr>
              <w:t>0.50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620335E7" w14:textId="77777777" w:rsidR="00CA360A" w:rsidRPr="00555EB1" w:rsidRDefault="00CA360A" w:rsidP="0087212A">
            <w:pPr>
              <w:spacing w:after="120"/>
              <w:rPr>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3037C678" w14:textId="77777777" w:rsidR="00CA360A" w:rsidRPr="00555EB1" w:rsidRDefault="00CA360A" w:rsidP="0087212A">
            <w:pPr>
              <w:spacing w:after="120"/>
              <w:rPr>
                <w:rFonts w:ascii="Calibri" w:hAnsi="Calibri"/>
                <w:lang w:eastAsia="de-AT"/>
              </w:rPr>
            </w:pPr>
            <w:r w:rsidRPr="00555EB1">
              <w:rPr>
                <w:lang w:eastAsia="de-AT"/>
              </w:rPr>
              <w:t>0.75</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66C5C47B" w14:textId="77777777" w:rsidR="00CA360A" w:rsidRDefault="00CA360A" w:rsidP="0087212A">
            <w:pPr>
              <w:spacing w:after="120"/>
              <w:rPr>
                <w:lang w:eastAsia="de-AT"/>
              </w:rPr>
            </w:pPr>
            <w:r w:rsidRPr="00555EB1">
              <w:rPr>
                <w:lang w:eastAsia="de-AT"/>
              </w:rPr>
              <w:t>0.75</w:t>
            </w:r>
          </w:p>
        </w:tc>
      </w:tr>
      <w:tr w:rsidR="00CA360A" w:rsidRPr="000952E0" w14:paraId="73A13334" w14:textId="77777777" w:rsidTr="0087212A">
        <w:trPr>
          <w:trHeight w:val="300"/>
        </w:trPr>
        <w:tc>
          <w:tcPr>
            <w:tcW w:w="2067" w:type="dxa"/>
            <w:tcBorders>
              <w:top w:val="single" w:sz="8" w:space="0" w:color="auto"/>
              <w:left w:val="single" w:sz="8" w:space="0" w:color="auto"/>
              <w:right w:val="single" w:sz="8" w:space="0" w:color="auto"/>
            </w:tcBorders>
            <w:tcMar>
              <w:top w:w="0" w:type="dxa"/>
              <w:left w:w="70" w:type="dxa"/>
              <w:bottom w:w="0" w:type="dxa"/>
              <w:right w:w="70" w:type="dxa"/>
            </w:tcMar>
            <w:hideMark/>
          </w:tcPr>
          <w:p w14:paraId="0B0EBC80" w14:textId="77777777" w:rsidR="00CA360A" w:rsidRPr="003572BC" w:rsidRDefault="00CA360A" w:rsidP="0087212A">
            <w:pPr>
              <w:rPr>
                <w:b/>
                <w:bCs/>
                <w:lang w:eastAsia="de-AT"/>
              </w:rPr>
            </w:pPr>
            <w:r w:rsidRPr="00555EB1">
              <w:rPr>
                <w:b/>
                <w:bCs/>
                <w:lang w:eastAsia="de-AT"/>
              </w:rPr>
              <w:t>Emolients</w:t>
            </w:r>
          </w:p>
        </w:tc>
        <w:tc>
          <w:tcPr>
            <w:tcW w:w="1076" w:type="dxa"/>
            <w:tcBorders>
              <w:top w:val="single" w:sz="8" w:space="0" w:color="auto"/>
              <w:left w:val="nil"/>
              <w:right w:val="single" w:sz="8" w:space="0" w:color="auto"/>
            </w:tcBorders>
            <w:tcMar>
              <w:top w:w="0" w:type="dxa"/>
              <w:left w:w="70" w:type="dxa"/>
              <w:bottom w:w="0" w:type="dxa"/>
              <w:right w:w="70" w:type="dxa"/>
            </w:tcMar>
            <w:hideMark/>
          </w:tcPr>
          <w:p w14:paraId="4F62279B" w14:textId="77777777" w:rsidR="00CA360A" w:rsidRPr="00555EB1" w:rsidRDefault="00CA360A" w:rsidP="0087212A">
            <w:pPr>
              <w:rPr>
                <w:b/>
                <w:bCs/>
                <w:lang w:eastAsia="de-AT"/>
              </w:rPr>
            </w:pPr>
            <w:r w:rsidRPr="00555EB1">
              <w:rPr>
                <w:b/>
                <w:bCs/>
                <w:lang w:eastAsia="de-AT"/>
              </w:rPr>
              <w:t>4.12</w:t>
            </w:r>
          </w:p>
        </w:tc>
        <w:tc>
          <w:tcPr>
            <w:tcW w:w="1248" w:type="dxa"/>
            <w:tcBorders>
              <w:top w:val="single" w:sz="8" w:space="0" w:color="auto"/>
              <w:left w:val="nil"/>
              <w:right w:val="single" w:sz="8" w:space="0" w:color="auto"/>
            </w:tcBorders>
            <w:tcMar>
              <w:top w:w="0" w:type="dxa"/>
              <w:left w:w="70" w:type="dxa"/>
              <w:bottom w:w="0" w:type="dxa"/>
              <w:right w:w="70" w:type="dxa"/>
            </w:tcMar>
            <w:hideMark/>
          </w:tcPr>
          <w:p w14:paraId="03964C7D" w14:textId="77777777" w:rsidR="00CA360A" w:rsidRPr="00555EB1" w:rsidRDefault="00CA360A" w:rsidP="0087212A">
            <w:pPr>
              <w:rPr>
                <w:b/>
                <w:bCs/>
                <w:lang w:eastAsia="de-AT"/>
              </w:rPr>
            </w:pPr>
            <w:r w:rsidRPr="00555EB1">
              <w:rPr>
                <w:b/>
                <w:bCs/>
                <w:lang w:eastAsia="de-AT"/>
              </w:rPr>
              <w:t>9.20</w:t>
            </w:r>
          </w:p>
        </w:tc>
        <w:tc>
          <w:tcPr>
            <w:tcW w:w="764" w:type="dxa"/>
            <w:tcBorders>
              <w:top w:val="single" w:sz="8" w:space="0" w:color="auto"/>
              <w:left w:val="nil"/>
              <w:right w:val="single" w:sz="8" w:space="0" w:color="auto"/>
            </w:tcBorders>
            <w:tcMar>
              <w:top w:w="0" w:type="dxa"/>
              <w:left w:w="70" w:type="dxa"/>
              <w:bottom w:w="0" w:type="dxa"/>
              <w:right w:w="70" w:type="dxa"/>
            </w:tcMar>
          </w:tcPr>
          <w:p w14:paraId="38010F75" w14:textId="77777777" w:rsidR="00CA360A" w:rsidRPr="00555EB1" w:rsidRDefault="00CA360A" w:rsidP="0087212A">
            <w:pPr>
              <w:rPr>
                <w:lang w:eastAsia="de-AT"/>
              </w:rPr>
            </w:pPr>
          </w:p>
        </w:tc>
        <w:tc>
          <w:tcPr>
            <w:tcW w:w="780" w:type="dxa"/>
            <w:tcBorders>
              <w:top w:val="single" w:sz="8" w:space="0" w:color="auto"/>
              <w:left w:val="nil"/>
              <w:right w:val="single" w:sz="8" w:space="0" w:color="auto"/>
            </w:tcBorders>
            <w:tcMar>
              <w:top w:w="0" w:type="dxa"/>
              <w:left w:w="70" w:type="dxa"/>
              <w:bottom w:w="0" w:type="dxa"/>
              <w:right w:w="70" w:type="dxa"/>
            </w:tcMar>
          </w:tcPr>
          <w:p w14:paraId="1BBAD040" w14:textId="77777777" w:rsidR="00CA360A" w:rsidRPr="00555EB1" w:rsidRDefault="00CA360A" w:rsidP="0087212A">
            <w:pPr>
              <w:rPr>
                <w:lang w:eastAsia="de-AT"/>
              </w:rPr>
            </w:pPr>
          </w:p>
        </w:tc>
        <w:tc>
          <w:tcPr>
            <w:tcW w:w="776" w:type="dxa"/>
            <w:tcBorders>
              <w:top w:val="single" w:sz="8" w:space="0" w:color="auto"/>
              <w:left w:val="nil"/>
              <w:right w:val="single" w:sz="8" w:space="0" w:color="auto"/>
            </w:tcBorders>
            <w:tcMar>
              <w:top w:w="0" w:type="dxa"/>
              <w:left w:w="70" w:type="dxa"/>
              <w:bottom w:w="0" w:type="dxa"/>
              <w:right w:w="70" w:type="dxa"/>
            </w:tcMar>
          </w:tcPr>
          <w:p w14:paraId="68D3EB6F" w14:textId="77777777" w:rsidR="00CA360A" w:rsidRPr="00555EB1" w:rsidRDefault="00CA360A" w:rsidP="0087212A">
            <w:pPr>
              <w:rPr>
                <w:lang w:eastAsia="de-AT"/>
              </w:rPr>
            </w:pPr>
          </w:p>
        </w:tc>
        <w:tc>
          <w:tcPr>
            <w:tcW w:w="780" w:type="dxa"/>
            <w:tcBorders>
              <w:top w:val="single" w:sz="8" w:space="0" w:color="auto"/>
              <w:left w:val="nil"/>
              <w:right w:val="single" w:sz="8" w:space="0" w:color="auto"/>
            </w:tcBorders>
            <w:tcMar>
              <w:top w:w="0" w:type="dxa"/>
              <w:left w:w="70" w:type="dxa"/>
              <w:bottom w:w="0" w:type="dxa"/>
              <w:right w:w="70" w:type="dxa"/>
            </w:tcMar>
          </w:tcPr>
          <w:p w14:paraId="24FBE668" w14:textId="77777777" w:rsidR="00CA360A" w:rsidRPr="00555EB1" w:rsidRDefault="00CA360A" w:rsidP="0087212A">
            <w:pPr>
              <w:rPr>
                <w:lang w:eastAsia="de-AT"/>
              </w:rPr>
            </w:pPr>
          </w:p>
        </w:tc>
        <w:tc>
          <w:tcPr>
            <w:tcW w:w="776" w:type="dxa"/>
            <w:tcBorders>
              <w:top w:val="single" w:sz="8" w:space="0" w:color="auto"/>
              <w:left w:val="nil"/>
              <w:right w:val="single" w:sz="8" w:space="0" w:color="auto"/>
            </w:tcBorders>
            <w:tcMar>
              <w:top w:w="0" w:type="dxa"/>
              <w:left w:w="70" w:type="dxa"/>
              <w:bottom w:w="0" w:type="dxa"/>
              <w:right w:w="70" w:type="dxa"/>
            </w:tcMar>
          </w:tcPr>
          <w:p w14:paraId="6EC2D887" w14:textId="77777777" w:rsidR="00CA360A" w:rsidRPr="00555EB1" w:rsidRDefault="00CA360A" w:rsidP="0087212A">
            <w:pPr>
              <w:rPr>
                <w:lang w:eastAsia="de-AT"/>
              </w:rPr>
            </w:pPr>
          </w:p>
        </w:tc>
        <w:tc>
          <w:tcPr>
            <w:tcW w:w="780" w:type="dxa"/>
            <w:tcBorders>
              <w:top w:val="single" w:sz="8" w:space="0" w:color="auto"/>
              <w:left w:val="nil"/>
              <w:right w:val="single" w:sz="8" w:space="0" w:color="auto"/>
            </w:tcBorders>
            <w:tcMar>
              <w:top w:w="0" w:type="dxa"/>
              <w:left w:w="70" w:type="dxa"/>
              <w:bottom w:w="0" w:type="dxa"/>
              <w:right w:w="70" w:type="dxa"/>
            </w:tcMar>
          </w:tcPr>
          <w:p w14:paraId="43F9AE73" w14:textId="77777777" w:rsidR="00CA360A" w:rsidRPr="00555EB1" w:rsidRDefault="00CA360A" w:rsidP="0087212A">
            <w:pPr>
              <w:rPr>
                <w:lang w:eastAsia="de-AT"/>
              </w:rPr>
            </w:pPr>
          </w:p>
        </w:tc>
        <w:tc>
          <w:tcPr>
            <w:tcW w:w="776" w:type="dxa"/>
            <w:tcBorders>
              <w:top w:val="single" w:sz="8" w:space="0" w:color="auto"/>
              <w:left w:val="nil"/>
              <w:right w:val="single" w:sz="8" w:space="0" w:color="auto"/>
            </w:tcBorders>
            <w:tcMar>
              <w:top w:w="0" w:type="dxa"/>
              <w:left w:w="70" w:type="dxa"/>
              <w:bottom w:w="0" w:type="dxa"/>
              <w:right w:w="70" w:type="dxa"/>
            </w:tcMar>
          </w:tcPr>
          <w:p w14:paraId="5CA651E9" w14:textId="77777777" w:rsidR="00CA360A" w:rsidRPr="00555EB1" w:rsidRDefault="00CA360A" w:rsidP="0087212A">
            <w:pPr>
              <w:rPr>
                <w:lang w:eastAsia="de-AT"/>
              </w:rPr>
            </w:pPr>
          </w:p>
        </w:tc>
      </w:tr>
      <w:tr w:rsidR="00CA360A" w:rsidRPr="003B66AB" w14:paraId="2E8BBB8B" w14:textId="77777777" w:rsidTr="0087212A">
        <w:trPr>
          <w:trHeight w:val="300"/>
        </w:trPr>
        <w:tc>
          <w:tcPr>
            <w:tcW w:w="4391"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0A3650BF" w14:textId="77777777" w:rsidR="00CA360A" w:rsidRPr="00FB1F38" w:rsidRDefault="00CA360A" w:rsidP="0087212A">
            <w:pPr>
              <w:rPr>
                <w:b/>
                <w:bCs/>
                <w:lang w:eastAsia="de-AT"/>
              </w:rPr>
            </w:pPr>
            <w:r>
              <w:rPr>
                <w:bCs/>
                <w:sz w:val="20"/>
                <w:lang w:eastAsia="de-AT"/>
              </w:rPr>
              <w:t>A and B can be used either alter</w:t>
            </w:r>
            <w:r w:rsidRPr="00070FA9">
              <w:rPr>
                <w:bCs/>
                <w:sz w:val="20"/>
                <w:lang w:eastAsia="de-AT"/>
              </w:rPr>
              <w:t xml:space="preserve">natively or </w:t>
            </w:r>
            <w:r>
              <w:rPr>
                <w:bCs/>
                <w:sz w:val="20"/>
                <w:lang w:eastAsia="de-AT"/>
              </w:rPr>
              <w:t>in combination</w:t>
            </w:r>
            <w:r w:rsidRPr="00070FA9">
              <w:rPr>
                <w:bCs/>
                <w:sz w:val="20"/>
                <w:lang w:eastAsia="de-AT"/>
              </w:rPr>
              <w:t>. The total content of emollients in the formulation should be in the range of 4.12 to 9.20</w:t>
            </w:r>
          </w:p>
        </w:tc>
        <w:tc>
          <w:tcPr>
            <w:tcW w:w="764" w:type="dxa"/>
            <w:tcBorders>
              <w:top w:val="nil"/>
              <w:left w:val="nil"/>
              <w:bottom w:val="single" w:sz="8" w:space="0" w:color="auto"/>
              <w:right w:val="single" w:sz="8" w:space="0" w:color="auto"/>
            </w:tcBorders>
            <w:tcMar>
              <w:top w:w="0" w:type="dxa"/>
              <w:left w:w="70" w:type="dxa"/>
              <w:bottom w:w="0" w:type="dxa"/>
              <w:right w:w="70" w:type="dxa"/>
            </w:tcMar>
          </w:tcPr>
          <w:p w14:paraId="60C476CB" w14:textId="77777777" w:rsidR="00CA360A" w:rsidRPr="00FB1F38" w:rsidRDefault="00CA360A" w:rsidP="0087212A">
            <w:pPr>
              <w:rPr>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tcPr>
          <w:p w14:paraId="6C0E278E" w14:textId="77777777" w:rsidR="00CA360A" w:rsidRPr="00FB1F38" w:rsidRDefault="00CA360A" w:rsidP="0087212A">
            <w:pPr>
              <w:rPr>
                <w:lang w:eastAsia="de-AT"/>
              </w:rPr>
            </w:pPr>
          </w:p>
        </w:tc>
        <w:tc>
          <w:tcPr>
            <w:tcW w:w="776" w:type="dxa"/>
            <w:tcBorders>
              <w:top w:val="nil"/>
              <w:left w:val="nil"/>
              <w:bottom w:val="single" w:sz="8" w:space="0" w:color="auto"/>
              <w:right w:val="single" w:sz="8" w:space="0" w:color="auto"/>
            </w:tcBorders>
            <w:tcMar>
              <w:top w:w="0" w:type="dxa"/>
              <w:left w:w="70" w:type="dxa"/>
              <w:bottom w:w="0" w:type="dxa"/>
              <w:right w:w="70" w:type="dxa"/>
            </w:tcMar>
          </w:tcPr>
          <w:p w14:paraId="76105C4F" w14:textId="77777777" w:rsidR="00CA360A" w:rsidRPr="00FB1F38" w:rsidRDefault="00CA360A" w:rsidP="0087212A">
            <w:pPr>
              <w:rPr>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tcPr>
          <w:p w14:paraId="6CB227ED" w14:textId="77777777" w:rsidR="00CA360A" w:rsidRPr="00FB1F38" w:rsidRDefault="00CA360A" w:rsidP="0087212A">
            <w:pPr>
              <w:rPr>
                <w:lang w:eastAsia="de-AT"/>
              </w:rPr>
            </w:pPr>
          </w:p>
        </w:tc>
        <w:tc>
          <w:tcPr>
            <w:tcW w:w="776" w:type="dxa"/>
            <w:tcBorders>
              <w:top w:val="nil"/>
              <w:left w:val="nil"/>
              <w:bottom w:val="single" w:sz="8" w:space="0" w:color="auto"/>
              <w:right w:val="single" w:sz="8" w:space="0" w:color="auto"/>
            </w:tcBorders>
            <w:tcMar>
              <w:top w:w="0" w:type="dxa"/>
              <w:left w:w="70" w:type="dxa"/>
              <w:bottom w:w="0" w:type="dxa"/>
              <w:right w:w="70" w:type="dxa"/>
            </w:tcMar>
          </w:tcPr>
          <w:p w14:paraId="09B2983A" w14:textId="77777777" w:rsidR="00CA360A" w:rsidRPr="00FB1F38" w:rsidRDefault="00CA360A" w:rsidP="0087212A">
            <w:pPr>
              <w:rPr>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tcPr>
          <w:p w14:paraId="2386968E" w14:textId="77777777" w:rsidR="00CA360A" w:rsidRPr="00FB1F38" w:rsidRDefault="00CA360A" w:rsidP="0087212A">
            <w:pPr>
              <w:rPr>
                <w:lang w:eastAsia="de-AT"/>
              </w:rPr>
            </w:pPr>
          </w:p>
        </w:tc>
        <w:tc>
          <w:tcPr>
            <w:tcW w:w="776" w:type="dxa"/>
            <w:tcBorders>
              <w:top w:val="nil"/>
              <w:left w:val="nil"/>
              <w:bottom w:val="single" w:sz="8" w:space="0" w:color="auto"/>
              <w:right w:val="single" w:sz="8" w:space="0" w:color="auto"/>
            </w:tcBorders>
            <w:tcMar>
              <w:top w:w="0" w:type="dxa"/>
              <w:left w:w="70" w:type="dxa"/>
              <w:bottom w:w="0" w:type="dxa"/>
              <w:right w:w="70" w:type="dxa"/>
            </w:tcMar>
          </w:tcPr>
          <w:p w14:paraId="7D4A82E0" w14:textId="77777777" w:rsidR="00CA360A" w:rsidRPr="00FB1F38" w:rsidRDefault="00CA360A" w:rsidP="0087212A">
            <w:pPr>
              <w:rPr>
                <w:lang w:eastAsia="de-AT"/>
              </w:rPr>
            </w:pPr>
          </w:p>
        </w:tc>
      </w:tr>
      <w:tr w:rsidR="00CA360A" w14:paraId="305C1DD6" w14:textId="77777777" w:rsidTr="0087212A">
        <w:trPr>
          <w:trHeight w:val="20"/>
        </w:trPr>
        <w:tc>
          <w:tcPr>
            <w:tcW w:w="2067" w:type="dxa"/>
            <w:tcBorders>
              <w:top w:val="nil"/>
              <w:left w:val="single" w:sz="8" w:space="0" w:color="auto"/>
              <w:bottom w:val="nil"/>
              <w:right w:val="single" w:sz="8" w:space="0" w:color="auto"/>
            </w:tcBorders>
            <w:tcMar>
              <w:top w:w="0" w:type="dxa"/>
              <w:left w:w="70" w:type="dxa"/>
              <w:bottom w:w="0" w:type="dxa"/>
              <w:right w:w="70" w:type="dxa"/>
            </w:tcMar>
            <w:hideMark/>
          </w:tcPr>
          <w:p w14:paraId="41A69A30" w14:textId="77777777" w:rsidR="00CA360A" w:rsidRDefault="00CA360A" w:rsidP="0087212A">
            <w:pPr>
              <w:spacing w:after="120"/>
              <w:rPr>
                <w:lang w:eastAsia="de-AT"/>
              </w:rPr>
            </w:pPr>
            <w:r>
              <w:rPr>
                <w:lang w:eastAsia="de-AT"/>
              </w:rPr>
              <w:t>Emollient A</w:t>
            </w:r>
          </w:p>
        </w:tc>
        <w:tc>
          <w:tcPr>
            <w:tcW w:w="1076" w:type="dxa"/>
            <w:tcBorders>
              <w:top w:val="nil"/>
              <w:left w:val="nil"/>
              <w:bottom w:val="nil"/>
              <w:right w:val="single" w:sz="8" w:space="0" w:color="auto"/>
            </w:tcBorders>
            <w:tcMar>
              <w:top w:w="0" w:type="dxa"/>
              <w:left w:w="70" w:type="dxa"/>
              <w:bottom w:w="0" w:type="dxa"/>
              <w:right w:w="70" w:type="dxa"/>
            </w:tcMar>
            <w:hideMark/>
          </w:tcPr>
          <w:p w14:paraId="2F760359" w14:textId="77777777" w:rsidR="00CA360A" w:rsidRDefault="00CA360A" w:rsidP="0087212A">
            <w:pPr>
              <w:spacing w:after="120"/>
              <w:rPr>
                <w:lang w:eastAsia="de-AT"/>
              </w:rPr>
            </w:pPr>
            <w:r>
              <w:rPr>
                <w:lang w:eastAsia="de-AT"/>
              </w:rPr>
              <w:t>0.00</w:t>
            </w:r>
          </w:p>
        </w:tc>
        <w:tc>
          <w:tcPr>
            <w:tcW w:w="1248" w:type="dxa"/>
            <w:tcBorders>
              <w:top w:val="nil"/>
              <w:left w:val="nil"/>
              <w:bottom w:val="nil"/>
              <w:right w:val="single" w:sz="8" w:space="0" w:color="auto"/>
            </w:tcBorders>
            <w:tcMar>
              <w:top w:w="0" w:type="dxa"/>
              <w:left w:w="70" w:type="dxa"/>
              <w:bottom w:w="0" w:type="dxa"/>
              <w:right w:w="70" w:type="dxa"/>
            </w:tcMar>
            <w:hideMark/>
          </w:tcPr>
          <w:p w14:paraId="5D6B33FD" w14:textId="77777777" w:rsidR="00CA360A" w:rsidRDefault="00CA360A" w:rsidP="0087212A">
            <w:pPr>
              <w:spacing w:after="120"/>
              <w:rPr>
                <w:lang w:eastAsia="de-AT"/>
              </w:rPr>
            </w:pPr>
            <w:r>
              <w:rPr>
                <w:lang w:eastAsia="de-AT"/>
              </w:rPr>
              <w:t>8.70</w:t>
            </w:r>
          </w:p>
        </w:tc>
        <w:tc>
          <w:tcPr>
            <w:tcW w:w="764" w:type="dxa"/>
            <w:tcBorders>
              <w:top w:val="nil"/>
              <w:left w:val="nil"/>
              <w:bottom w:val="nil"/>
              <w:right w:val="single" w:sz="8" w:space="0" w:color="auto"/>
            </w:tcBorders>
            <w:tcMar>
              <w:top w:w="0" w:type="dxa"/>
              <w:left w:w="70" w:type="dxa"/>
              <w:bottom w:w="0" w:type="dxa"/>
              <w:right w:w="70" w:type="dxa"/>
            </w:tcMar>
            <w:hideMark/>
          </w:tcPr>
          <w:p w14:paraId="74B655C3" w14:textId="77777777" w:rsidR="00CA360A" w:rsidRDefault="00CA360A" w:rsidP="0087212A">
            <w:pPr>
              <w:spacing w:after="120"/>
              <w:rPr>
                <w:lang w:eastAsia="de-AT"/>
              </w:rPr>
            </w:pPr>
            <w:r>
              <w:rPr>
                <w:lang w:eastAsia="de-AT"/>
              </w:rPr>
              <w:t>8.00</w:t>
            </w:r>
          </w:p>
        </w:tc>
        <w:tc>
          <w:tcPr>
            <w:tcW w:w="780" w:type="dxa"/>
            <w:tcBorders>
              <w:top w:val="nil"/>
              <w:left w:val="nil"/>
              <w:bottom w:val="nil"/>
              <w:right w:val="single" w:sz="8" w:space="0" w:color="auto"/>
            </w:tcBorders>
            <w:tcMar>
              <w:top w:w="0" w:type="dxa"/>
              <w:left w:w="70" w:type="dxa"/>
              <w:bottom w:w="0" w:type="dxa"/>
              <w:right w:w="70" w:type="dxa"/>
            </w:tcMar>
            <w:hideMark/>
          </w:tcPr>
          <w:p w14:paraId="1205066A" w14:textId="77777777" w:rsidR="00CA360A" w:rsidRDefault="00CA360A" w:rsidP="0087212A">
            <w:pPr>
              <w:spacing w:after="120"/>
              <w:rPr>
                <w:lang w:eastAsia="de-AT"/>
              </w:rPr>
            </w:pPr>
            <w:r>
              <w:rPr>
                <w:lang w:eastAsia="de-AT"/>
              </w:rPr>
              <w:t>8.00</w:t>
            </w:r>
          </w:p>
        </w:tc>
        <w:tc>
          <w:tcPr>
            <w:tcW w:w="776" w:type="dxa"/>
            <w:tcBorders>
              <w:top w:val="nil"/>
              <w:left w:val="nil"/>
              <w:bottom w:val="nil"/>
              <w:right w:val="single" w:sz="8" w:space="0" w:color="auto"/>
            </w:tcBorders>
            <w:tcMar>
              <w:top w:w="0" w:type="dxa"/>
              <w:left w:w="70" w:type="dxa"/>
              <w:bottom w:w="0" w:type="dxa"/>
              <w:right w:w="70" w:type="dxa"/>
            </w:tcMar>
            <w:hideMark/>
          </w:tcPr>
          <w:p w14:paraId="65D3CBA0" w14:textId="77777777" w:rsidR="00CA360A" w:rsidRDefault="00CA360A" w:rsidP="0087212A">
            <w:pPr>
              <w:spacing w:after="120"/>
              <w:rPr>
                <w:lang w:eastAsia="de-AT"/>
              </w:rPr>
            </w:pPr>
            <w:r>
              <w:rPr>
                <w:lang w:eastAsia="de-AT"/>
              </w:rPr>
              <w:t>8.70</w:t>
            </w:r>
          </w:p>
        </w:tc>
        <w:tc>
          <w:tcPr>
            <w:tcW w:w="780" w:type="dxa"/>
            <w:tcBorders>
              <w:top w:val="nil"/>
              <w:left w:val="nil"/>
              <w:bottom w:val="nil"/>
              <w:right w:val="single" w:sz="8" w:space="0" w:color="auto"/>
            </w:tcBorders>
            <w:tcMar>
              <w:top w:w="0" w:type="dxa"/>
              <w:left w:w="70" w:type="dxa"/>
              <w:bottom w:w="0" w:type="dxa"/>
              <w:right w:w="70" w:type="dxa"/>
            </w:tcMar>
            <w:hideMark/>
          </w:tcPr>
          <w:p w14:paraId="09379F08" w14:textId="77777777" w:rsidR="00CA360A" w:rsidRDefault="00CA360A" w:rsidP="0087212A">
            <w:pPr>
              <w:spacing w:after="120"/>
              <w:rPr>
                <w:lang w:eastAsia="de-AT"/>
              </w:rPr>
            </w:pPr>
            <w:r>
              <w:rPr>
                <w:lang w:eastAsia="de-AT"/>
              </w:rPr>
              <w:t>8.00</w:t>
            </w:r>
          </w:p>
        </w:tc>
        <w:tc>
          <w:tcPr>
            <w:tcW w:w="776" w:type="dxa"/>
            <w:tcBorders>
              <w:top w:val="nil"/>
              <w:left w:val="nil"/>
              <w:bottom w:val="nil"/>
              <w:right w:val="single" w:sz="8" w:space="0" w:color="auto"/>
            </w:tcBorders>
            <w:tcMar>
              <w:top w:w="0" w:type="dxa"/>
              <w:left w:w="70" w:type="dxa"/>
              <w:bottom w:w="0" w:type="dxa"/>
              <w:right w:w="70" w:type="dxa"/>
            </w:tcMar>
            <w:hideMark/>
          </w:tcPr>
          <w:p w14:paraId="35DCAA95" w14:textId="77777777" w:rsidR="00CA360A" w:rsidRDefault="00CA360A" w:rsidP="0087212A">
            <w:pPr>
              <w:spacing w:after="120"/>
              <w:rPr>
                <w:lang w:eastAsia="de-AT"/>
              </w:rPr>
            </w:pPr>
            <w:r>
              <w:rPr>
                <w:lang w:eastAsia="de-AT"/>
              </w:rPr>
              <w:t>8.00</w:t>
            </w:r>
          </w:p>
        </w:tc>
        <w:tc>
          <w:tcPr>
            <w:tcW w:w="780" w:type="dxa"/>
            <w:tcBorders>
              <w:top w:val="nil"/>
              <w:left w:val="nil"/>
              <w:bottom w:val="nil"/>
              <w:right w:val="single" w:sz="8" w:space="0" w:color="auto"/>
            </w:tcBorders>
            <w:tcMar>
              <w:top w:w="0" w:type="dxa"/>
              <w:left w:w="70" w:type="dxa"/>
              <w:bottom w:w="0" w:type="dxa"/>
              <w:right w:w="70" w:type="dxa"/>
            </w:tcMar>
            <w:hideMark/>
          </w:tcPr>
          <w:p w14:paraId="6D88E434" w14:textId="77777777" w:rsidR="00CA360A" w:rsidRDefault="00CA360A" w:rsidP="0087212A">
            <w:pPr>
              <w:spacing w:after="120"/>
              <w:rPr>
                <w:lang w:eastAsia="de-AT"/>
              </w:rPr>
            </w:pPr>
            <w:r>
              <w:rPr>
                <w:lang w:eastAsia="de-AT"/>
              </w:rPr>
              <w:t>3.00</w:t>
            </w:r>
          </w:p>
        </w:tc>
        <w:tc>
          <w:tcPr>
            <w:tcW w:w="776" w:type="dxa"/>
            <w:tcBorders>
              <w:top w:val="nil"/>
              <w:left w:val="nil"/>
              <w:bottom w:val="nil"/>
              <w:right w:val="single" w:sz="8" w:space="0" w:color="auto"/>
            </w:tcBorders>
            <w:tcMar>
              <w:top w:w="0" w:type="dxa"/>
              <w:left w:w="70" w:type="dxa"/>
              <w:bottom w:w="0" w:type="dxa"/>
              <w:right w:w="70" w:type="dxa"/>
            </w:tcMar>
            <w:hideMark/>
          </w:tcPr>
          <w:p w14:paraId="37A78312" w14:textId="77777777" w:rsidR="00CA360A" w:rsidRDefault="00CA360A" w:rsidP="0087212A">
            <w:pPr>
              <w:spacing w:after="120"/>
              <w:rPr>
                <w:lang w:eastAsia="de-AT"/>
              </w:rPr>
            </w:pPr>
          </w:p>
        </w:tc>
      </w:tr>
      <w:tr w:rsidR="00CA360A" w14:paraId="789C11E4" w14:textId="77777777" w:rsidTr="0087212A">
        <w:trPr>
          <w:trHeight w:val="20"/>
        </w:trPr>
        <w:tc>
          <w:tcPr>
            <w:tcW w:w="2067" w:type="dxa"/>
            <w:tcBorders>
              <w:top w:val="nil"/>
              <w:left w:val="single" w:sz="8" w:space="0" w:color="auto"/>
              <w:bottom w:val="nil"/>
              <w:right w:val="single" w:sz="8" w:space="0" w:color="auto"/>
            </w:tcBorders>
            <w:tcMar>
              <w:top w:w="0" w:type="dxa"/>
              <w:left w:w="70" w:type="dxa"/>
              <w:bottom w:w="0" w:type="dxa"/>
              <w:right w:w="70" w:type="dxa"/>
            </w:tcMar>
            <w:hideMark/>
          </w:tcPr>
          <w:p w14:paraId="58F15B7B" w14:textId="77777777" w:rsidR="00CA360A" w:rsidRDefault="00CA360A" w:rsidP="0087212A">
            <w:pPr>
              <w:spacing w:after="120"/>
              <w:rPr>
                <w:rFonts w:ascii="Calibri" w:hAnsi="Calibri"/>
                <w:lang w:eastAsia="de-AT"/>
              </w:rPr>
            </w:pPr>
            <w:r>
              <w:rPr>
                <w:lang w:eastAsia="de-AT"/>
              </w:rPr>
              <w:t>Emollient B</w:t>
            </w:r>
          </w:p>
        </w:tc>
        <w:tc>
          <w:tcPr>
            <w:tcW w:w="1076" w:type="dxa"/>
            <w:tcBorders>
              <w:top w:val="nil"/>
              <w:left w:val="nil"/>
              <w:bottom w:val="nil"/>
              <w:right w:val="single" w:sz="8" w:space="0" w:color="auto"/>
            </w:tcBorders>
            <w:tcMar>
              <w:top w:w="0" w:type="dxa"/>
              <w:left w:w="70" w:type="dxa"/>
              <w:bottom w:w="0" w:type="dxa"/>
              <w:right w:w="70" w:type="dxa"/>
            </w:tcMar>
            <w:hideMark/>
          </w:tcPr>
          <w:p w14:paraId="3E4F5520" w14:textId="77777777" w:rsidR="00CA360A" w:rsidRDefault="00CA360A" w:rsidP="0087212A">
            <w:pPr>
              <w:spacing w:after="120"/>
              <w:rPr>
                <w:lang w:eastAsia="de-AT"/>
              </w:rPr>
            </w:pPr>
            <w:r>
              <w:rPr>
                <w:lang w:eastAsia="de-AT"/>
              </w:rPr>
              <w:t>0.00</w:t>
            </w:r>
          </w:p>
        </w:tc>
        <w:tc>
          <w:tcPr>
            <w:tcW w:w="1248" w:type="dxa"/>
            <w:tcBorders>
              <w:top w:val="nil"/>
              <w:left w:val="nil"/>
              <w:bottom w:val="nil"/>
              <w:right w:val="single" w:sz="8" w:space="0" w:color="auto"/>
            </w:tcBorders>
            <w:tcMar>
              <w:top w:w="0" w:type="dxa"/>
              <w:left w:w="70" w:type="dxa"/>
              <w:bottom w:w="0" w:type="dxa"/>
              <w:right w:w="70" w:type="dxa"/>
            </w:tcMar>
            <w:hideMark/>
          </w:tcPr>
          <w:p w14:paraId="0481857E" w14:textId="77777777" w:rsidR="00CA360A" w:rsidRDefault="00CA360A" w:rsidP="0087212A">
            <w:pPr>
              <w:spacing w:after="120"/>
              <w:rPr>
                <w:lang w:eastAsia="de-AT"/>
              </w:rPr>
            </w:pPr>
            <w:r>
              <w:rPr>
                <w:lang w:eastAsia="de-AT"/>
              </w:rPr>
              <w:t>0.50</w:t>
            </w:r>
          </w:p>
        </w:tc>
        <w:tc>
          <w:tcPr>
            <w:tcW w:w="764" w:type="dxa"/>
            <w:tcBorders>
              <w:top w:val="nil"/>
              <w:left w:val="nil"/>
              <w:bottom w:val="nil"/>
              <w:right w:val="single" w:sz="8" w:space="0" w:color="auto"/>
            </w:tcBorders>
            <w:tcMar>
              <w:top w:w="0" w:type="dxa"/>
              <w:left w:w="70" w:type="dxa"/>
              <w:bottom w:w="0" w:type="dxa"/>
              <w:right w:w="70" w:type="dxa"/>
            </w:tcMar>
            <w:hideMark/>
          </w:tcPr>
          <w:p w14:paraId="77EAF695" w14:textId="77777777" w:rsidR="00CA360A" w:rsidRDefault="00CA360A" w:rsidP="0087212A">
            <w:pPr>
              <w:spacing w:after="120"/>
              <w:rPr>
                <w:lang w:eastAsia="de-AT"/>
              </w:rPr>
            </w:pPr>
            <w:r>
              <w:rPr>
                <w:lang w:eastAsia="de-AT"/>
              </w:rPr>
              <w:t>0.50</w:t>
            </w:r>
          </w:p>
        </w:tc>
        <w:tc>
          <w:tcPr>
            <w:tcW w:w="780" w:type="dxa"/>
            <w:tcBorders>
              <w:top w:val="nil"/>
              <w:left w:val="nil"/>
              <w:bottom w:val="nil"/>
              <w:right w:val="single" w:sz="8" w:space="0" w:color="auto"/>
            </w:tcBorders>
            <w:tcMar>
              <w:top w:w="0" w:type="dxa"/>
              <w:left w:w="70" w:type="dxa"/>
              <w:bottom w:w="0" w:type="dxa"/>
              <w:right w:w="70" w:type="dxa"/>
            </w:tcMar>
            <w:hideMark/>
          </w:tcPr>
          <w:p w14:paraId="0C029ABB" w14:textId="77777777" w:rsidR="00CA360A" w:rsidRDefault="00CA360A" w:rsidP="0087212A">
            <w:pPr>
              <w:spacing w:after="120"/>
              <w:rPr>
                <w:lang w:eastAsia="de-AT"/>
              </w:rPr>
            </w:pPr>
          </w:p>
        </w:tc>
        <w:tc>
          <w:tcPr>
            <w:tcW w:w="776" w:type="dxa"/>
            <w:tcBorders>
              <w:top w:val="nil"/>
              <w:left w:val="nil"/>
              <w:bottom w:val="nil"/>
              <w:right w:val="single" w:sz="8" w:space="0" w:color="auto"/>
            </w:tcBorders>
            <w:tcMar>
              <w:top w:w="0" w:type="dxa"/>
              <w:left w:w="70" w:type="dxa"/>
              <w:bottom w:w="0" w:type="dxa"/>
              <w:right w:w="70" w:type="dxa"/>
            </w:tcMar>
            <w:hideMark/>
          </w:tcPr>
          <w:p w14:paraId="5AF6C149" w14:textId="77777777" w:rsidR="00CA360A" w:rsidRDefault="00CA360A" w:rsidP="0087212A">
            <w:pPr>
              <w:spacing w:after="120"/>
              <w:rPr>
                <w:sz w:val="20"/>
                <w:lang w:val="de-DE" w:eastAsia="de-DE"/>
              </w:rPr>
            </w:pPr>
          </w:p>
        </w:tc>
        <w:tc>
          <w:tcPr>
            <w:tcW w:w="780" w:type="dxa"/>
            <w:tcBorders>
              <w:top w:val="nil"/>
              <w:left w:val="nil"/>
              <w:bottom w:val="nil"/>
              <w:right w:val="single" w:sz="8" w:space="0" w:color="auto"/>
            </w:tcBorders>
            <w:tcMar>
              <w:top w:w="0" w:type="dxa"/>
              <w:left w:w="70" w:type="dxa"/>
              <w:bottom w:w="0" w:type="dxa"/>
              <w:right w:w="70" w:type="dxa"/>
            </w:tcMar>
            <w:hideMark/>
          </w:tcPr>
          <w:p w14:paraId="4762070E" w14:textId="77777777" w:rsidR="00CA360A" w:rsidRDefault="00CA360A" w:rsidP="0087212A">
            <w:pPr>
              <w:spacing w:after="120"/>
              <w:rPr>
                <w:sz w:val="20"/>
                <w:lang w:val="de-DE" w:eastAsia="de-DE"/>
              </w:rPr>
            </w:pPr>
          </w:p>
        </w:tc>
        <w:tc>
          <w:tcPr>
            <w:tcW w:w="776" w:type="dxa"/>
            <w:tcBorders>
              <w:top w:val="nil"/>
              <w:left w:val="nil"/>
              <w:bottom w:val="nil"/>
              <w:right w:val="single" w:sz="8" w:space="0" w:color="auto"/>
            </w:tcBorders>
            <w:tcMar>
              <w:top w:w="0" w:type="dxa"/>
              <w:left w:w="70" w:type="dxa"/>
              <w:bottom w:w="0" w:type="dxa"/>
              <w:right w:w="70" w:type="dxa"/>
            </w:tcMar>
            <w:hideMark/>
          </w:tcPr>
          <w:p w14:paraId="16B56F64" w14:textId="77777777" w:rsidR="00CA360A" w:rsidRDefault="00CA360A" w:rsidP="0087212A">
            <w:pPr>
              <w:spacing w:after="120"/>
              <w:rPr>
                <w:sz w:val="20"/>
                <w:lang w:val="de-DE" w:eastAsia="de-DE"/>
              </w:rPr>
            </w:pPr>
          </w:p>
        </w:tc>
        <w:tc>
          <w:tcPr>
            <w:tcW w:w="780" w:type="dxa"/>
            <w:tcBorders>
              <w:top w:val="nil"/>
              <w:left w:val="nil"/>
              <w:bottom w:val="nil"/>
              <w:right w:val="single" w:sz="8" w:space="0" w:color="auto"/>
            </w:tcBorders>
            <w:tcMar>
              <w:top w:w="0" w:type="dxa"/>
              <w:left w:w="70" w:type="dxa"/>
              <w:bottom w:w="0" w:type="dxa"/>
              <w:right w:w="70" w:type="dxa"/>
            </w:tcMar>
            <w:hideMark/>
          </w:tcPr>
          <w:p w14:paraId="497F17DC" w14:textId="77777777" w:rsidR="00CA360A" w:rsidRDefault="00CA360A" w:rsidP="0087212A">
            <w:pPr>
              <w:spacing w:after="120"/>
              <w:rPr>
                <w:sz w:val="20"/>
                <w:lang w:val="de-DE" w:eastAsia="de-DE"/>
              </w:rPr>
            </w:pPr>
          </w:p>
        </w:tc>
        <w:tc>
          <w:tcPr>
            <w:tcW w:w="776" w:type="dxa"/>
            <w:tcBorders>
              <w:top w:val="nil"/>
              <w:left w:val="nil"/>
              <w:bottom w:val="nil"/>
              <w:right w:val="single" w:sz="8" w:space="0" w:color="auto"/>
            </w:tcBorders>
            <w:tcMar>
              <w:top w:w="0" w:type="dxa"/>
              <w:left w:w="70" w:type="dxa"/>
              <w:bottom w:w="0" w:type="dxa"/>
              <w:right w:w="70" w:type="dxa"/>
            </w:tcMar>
            <w:hideMark/>
          </w:tcPr>
          <w:p w14:paraId="2BC3262B" w14:textId="77777777" w:rsidR="00CA360A" w:rsidRDefault="00CA360A" w:rsidP="0087212A">
            <w:pPr>
              <w:spacing w:after="120"/>
              <w:rPr>
                <w:sz w:val="20"/>
                <w:lang w:val="de-DE" w:eastAsia="de-DE"/>
              </w:rPr>
            </w:pPr>
          </w:p>
        </w:tc>
      </w:tr>
      <w:tr w:rsidR="00CA360A" w14:paraId="62E9B27E" w14:textId="77777777" w:rsidTr="0087212A">
        <w:trPr>
          <w:trHeight w:val="20"/>
        </w:trPr>
        <w:tc>
          <w:tcPr>
            <w:tcW w:w="20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667429B" w14:textId="77777777" w:rsidR="00CA360A" w:rsidRDefault="00CA360A" w:rsidP="0087212A">
            <w:pPr>
              <w:spacing w:after="120"/>
              <w:rPr>
                <w:rFonts w:ascii="Calibri" w:hAnsi="Calibri"/>
                <w:lang w:eastAsia="de-AT"/>
              </w:rPr>
            </w:pPr>
            <w:r>
              <w:rPr>
                <w:lang w:eastAsia="de-AT"/>
              </w:rPr>
              <w:t>Emollient C</w:t>
            </w:r>
          </w:p>
        </w:tc>
        <w:tc>
          <w:tcPr>
            <w:tcW w:w="1076" w:type="dxa"/>
            <w:tcBorders>
              <w:top w:val="nil"/>
              <w:left w:val="nil"/>
              <w:bottom w:val="single" w:sz="8" w:space="0" w:color="auto"/>
              <w:right w:val="single" w:sz="8" w:space="0" w:color="auto"/>
            </w:tcBorders>
            <w:tcMar>
              <w:top w:w="0" w:type="dxa"/>
              <w:left w:w="70" w:type="dxa"/>
              <w:bottom w:w="0" w:type="dxa"/>
              <w:right w:w="70" w:type="dxa"/>
            </w:tcMar>
            <w:hideMark/>
          </w:tcPr>
          <w:p w14:paraId="1272E1A5" w14:textId="77777777" w:rsidR="00CA360A" w:rsidRDefault="00CA360A" w:rsidP="0087212A">
            <w:pPr>
              <w:spacing w:after="120"/>
              <w:rPr>
                <w:lang w:eastAsia="de-AT"/>
              </w:rPr>
            </w:pPr>
            <w:r>
              <w:rPr>
                <w:lang w:eastAsia="de-AT"/>
              </w:rPr>
              <w:t>0.00</w:t>
            </w:r>
          </w:p>
        </w:tc>
        <w:tc>
          <w:tcPr>
            <w:tcW w:w="1248" w:type="dxa"/>
            <w:tcBorders>
              <w:top w:val="nil"/>
              <w:left w:val="nil"/>
              <w:bottom w:val="single" w:sz="8" w:space="0" w:color="auto"/>
              <w:right w:val="single" w:sz="8" w:space="0" w:color="auto"/>
            </w:tcBorders>
            <w:tcMar>
              <w:top w:w="0" w:type="dxa"/>
              <w:left w:w="70" w:type="dxa"/>
              <w:bottom w:w="0" w:type="dxa"/>
              <w:right w:w="70" w:type="dxa"/>
            </w:tcMar>
            <w:hideMark/>
          </w:tcPr>
          <w:p w14:paraId="5C47264B" w14:textId="77777777" w:rsidR="00CA360A" w:rsidRDefault="00CA360A" w:rsidP="0087212A">
            <w:pPr>
              <w:spacing w:after="120"/>
              <w:rPr>
                <w:lang w:eastAsia="de-AT"/>
              </w:rPr>
            </w:pPr>
            <w:r>
              <w:rPr>
                <w:lang w:eastAsia="de-AT"/>
              </w:rPr>
              <w:t>4.12</w:t>
            </w:r>
          </w:p>
        </w:tc>
        <w:tc>
          <w:tcPr>
            <w:tcW w:w="764" w:type="dxa"/>
            <w:tcBorders>
              <w:top w:val="nil"/>
              <w:left w:val="nil"/>
              <w:bottom w:val="single" w:sz="8" w:space="0" w:color="auto"/>
              <w:right w:val="single" w:sz="8" w:space="0" w:color="auto"/>
            </w:tcBorders>
            <w:tcMar>
              <w:top w:w="0" w:type="dxa"/>
              <w:left w:w="70" w:type="dxa"/>
              <w:bottom w:w="0" w:type="dxa"/>
              <w:right w:w="70" w:type="dxa"/>
            </w:tcMar>
            <w:hideMark/>
          </w:tcPr>
          <w:p w14:paraId="309503A8" w14:textId="77777777" w:rsidR="00CA360A" w:rsidRDefault="00CA360A" w:rsidP="0087212A">
            <w:pPr>
              <w:spacing w:after="120"/>
              <w:rPr>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5FBA19E6" w14:textId="77777777" w:rsidR="00CA360A" w:rsidRDefault="00CA360A" w:rsidP="0087212A">
            <w:pPr>
              <w:spacing w:after="120"/>
              <w:rPr>
                <w:sz w:val="20"/>
                <w:lang w:val="de-DE" w:eastAsia="de-DE"/>
              </w:rPr>
            </w:pP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01806C8B" w14:textId="77777777" w:rsidR="00CA360A" w:rsidRDefault="00CA360A" w:rsidP="0087212A">
            <w:pPr>
              <w:spacing w:after="120"/>
              <w:rPr>
                <w:rFonts w:ascii="Calibri" w:hAnsi="Calibri"/>
                <w:lang w:eastAsia="de-AT"/>
              </w:rPr>
            </w:pPr>
            <w:r>
              <w:rPr>
                <w:lang w:eastAsia="de-AT"/>
              </w:rPr>
              <w:t>0.5</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36D0B7C2" w14:textId="77777777" w:rsidR="00CA360A" w:rsidRDefault="00CA360A" w:rsidP="0087212A">
            <w:pPr>
              <w:spacing w:after="120"/>
              <w:rPr>
                <w:rFonts w:ascii="Calibri" w:hAnsi="Calibri"/>
                <w:lang w:eastAsia="de-AT"/>
              </w:rPr>
            </w:pP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00266E37" w14:textId="77777777" w:rsidR="00CA360A" w:rsidRDefault="00CA360A" w:rsidP="0087212A">
            <w:pPr>
              <w:spacing w:after="120"/>
              <w:rPr>
                <w:sz w:val="20"/>
                <w:lang w:val="de-DE" w:eastAsia="de-DE"/>
              </w:rPr>
            </w:pPr>
          </w:p>
        </w:tc>
        <w:tc>
          <w:tcPr>
            <w:tcW w:w="780" w:type="dxa"/>
            <w:tcBorders>
              <w:top w:val="nil"/>
              <w:left w:val="nil"/>
              <w:bottom w:val="nil"/>
              <w:right w:val="single" w:sz="8" w:space="0" w:color="auto"/>
            </w:tcBorders>
            <w:tcMar>
              <w:top w:w="0" w:type="dxa"/>
              <w:left w:w="70" w:type="dxa"/>
              <w:bottom w:w="0" w:type="dxa"/>
              <w:right w:w="70" w:type="dxa"/>
            </w:tcMar>
            <w:hideMark/>
          </w:tcPr>
          <w:p w14:paraId="5D5EDFAA" w14:textId="77777777" w:rsidR="00CA360A" w:rsidRDefault="00CA360A" w:rsidP="0087212A">
            <w:pPr>
              <w:spacing w:after="120"/>
              <w:rPr>
                <w:rFonts w:ascii="Calibri" w:hAnsi="Calibri"/>
                <w:lang w:eastAsia="de-AT"/>
              </w:rPr>
            </w:pPr>
            <w:r>
              <w:rPr>
                <w:lang w:eastAsia="de-AT"/>
              </w:rPr>
              <w:t>4.00</w:t>
            </w:r>
          </w:p>
        </w:tc>
        <w:tc>
          <w:tcPr>
            <w:tcW w:w="776" w:type="dxa"/>
            <w:tcBorders>
              <w:top w:val="nil"/>
              <w:left w:val="nil"/>
              <w:bottom w:val="nil"/>
              <w:right w:val="single" w:sz="8" w:space="0" w:color="auto"/>
            </w:tcBorders>
            <w:tcMar>
              <w:top w:w="0" w:type="dxa"/>
              <w:left w:w="70" w:type="dxa"/>
              <w:bottom w:w="0" w:type="dxa"/>
              <w:right w:w="70" w:type="dxa"/>
            </w:tcMar>
            <w:hideMark/>
          </w:tcPr>
          <w:p w14:paraId="1BB752A1" w14:textId="77777777" w:rsidR="00CA360A" w:rsidRDefault="00CA360A" w:rsidP="0087212A">
            <w:pPr>
              <w:spacing w:after="120"/>
              <w:rPr>
                <w:lang w:eastAsia="de-AT"/>
              </w:rPr>
            </w:pPr>
            <w:r>
              <w:rPr>
                <w:lang w:eastAsia="de-AT"/>
              </w:rPr>
              <w:t>4.12</w:t>
            </w:r>
          </w:p>
        </w:tc>
      </w:tr>
      <w:tr w:rsidR="00CA360A" w14:paraId="1B427FE0" w14:textId="77777777" w:rsidTr="0087212A">
        <w:trPr>
          <w:trHeight w:val="20"/>
        </w:trPr>
        <w:tc>
          <w:tcPr>
            <w:tcW w:w="2067"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14:paraId="3A717AF8" w14:textId="77777777" w:rsidR="00CA360A" w:rsidRPr="00A632C7" w:rsidRDefault="00CA360A" w:rsidP="0087212A">
            <w:pPr>
              <w:rPr>
                <w:b/>
                <w:bCs/>
                <w:lang w:eastAsia="de-AT"/>
              </w:rPr>
            </w:pPr>
            <w:r>
              <w:rPr>
                <w:b/>
                <w:bCs/>
                <w:lang w:eastAsia="de-AT"/>
              </w:rPr>
              <w:t>Wetting Agents</w:t>
            </w:r>
          </w:p>
        </w:tc>
        <w:tc>
          <w:tcPr>
            <w:tcW w:w="1076" w:type="dxa"/>
            <w:tcBorders>
              <w:top w:val="single" w:sz="8" w:space="0" w:color="auto"/>
              <w:left w:val="nil"/>
              <w:bottom w:val="nil"/>
              <w:right w:val="single" w:sz="8" w:space="0" w:color="auto"/>
            </w:tcBorders>
            <w:tcMar>
              <w:top w:w="0" w:type="dxa"/>
              <w:left w:w="70" w:type="dxa"/>
              <w:bottom w:w="0" w:type="dxa"/>
              <w:right w:w="70" w:type="dxa"/>
            </w:tcMar>
            <w:hideMark/>
          </w:tcPr>
          <w:p w14:paraId="2E8744DA" w14:textId="77777777" w:rsidR="00CA360A" w:rsidRDefault="00CA360A" w:rsidP="0087212A">
            <w:pPr>
              <w:rPr>
                <w:b/>
                <w:bCs/>
                <w:lang w:eastAsia="de-AT"/>
              </w:rPr>
            </w:pPr>
            <w:r>
              <w:rPr>
                <w:b/>
                <w:bCs/>
                <w:lang w:eastAsia="de-AT"/>
              </w:rPr>
              <w:t>0.15</w:t>
            </w:r>
          </w:p>
        </w:tc>
        <w:tc>
          <w:tcPr>
            <w:tcW w:w="1248" w:type="dxa"/>
            <w:tcBorders>
              <w:top w:val="single" w:sz="8" w:space="0" w:color="auto"/>
              <w:left w:val="nil"/>
              <w:bottom w:val="nil"/>
              <w:right w:val="single" w:sz="8" w:space="0" w:color="auto"/>
            </w:tcBorders>
            <w:tcMar>
              <w:top w:w="0" w:type="dxa"/>
              <w:left w:w="70" w:type="dxa"/>
              <w:bottom w:w="0" w:type="dxa"/>
              <w:right w:w="70" w:type="dxa"/>
            </w:tcMar>
            <w:hideMark/>
          </w:tcPr>
          <w:p w14:paraId="166920FC" w14:textId="77777777" w:rsidR="00CA360A" w:rsidRDefault="00CA360A" w:rsidP="0087212A">
            <w:pPr>
              <w:rPr>
                <w:b/>
                <w:bCs/>
                <w:lang w:eastAsia="de-AT"/>
              </w:rPr>
            </w:pPr>
            <w:r>
              <w:rPr>
                <w:b/>
                <w:bCs/>
                <w:lang w:eastAsia="de-AT"/>
              </w:rPr>
              <w:t>2.6</w:t>
            </w:r>
          </w:p>
        </w:tc>
        <w:tc>
          <w:tcPr>
            <w:tcW w:w="764" w:type="dxa"/>
            <w:tcBorders>
              <w:top w:val="single" w:sz="8" w:space="0" w:color="auto"/>
              <w:left w:val="nil"/>
              <w:bottom w:val="nil"/>
              <w:right w:val="single" w:sz="8" w:space="0" w:color="auto"/>
            </w:tcBorders>
            <w:tcMar>
              <w:top w:w="0" w:type="dxa"/>
              <w:left w:w="70" w:type="dxa"/>
              <w:bottom w:w="0" w:type="dxa"/>
              <w:right w:w="70" w:type="dxa"/>
            </w:tcMar>
          </w:tcPr>
          <w:p w14:paraId="5A232974" w14:textId="77777777" w:rsidR="00CA360A" w:rsidRDefault="00CA360A" w:rsidP="0087212A">
            <w:pPr>
              <w:rPr>
                <w:lang w:eastAsia="de-AT"/>
              </w:rPr>
            </w:pPr>
          </w:p>
        </w:tc>
        <w:tc>
          <w:tcPr>
            <w:tcW w:w="780" w:type="dxa"/>
            <w:tcBorders>
              <w:top w:val="single" w:sz="8" w:space="0" w:color="auto"/>
              <w:left w:val="nil"/>
              <w:bottom w:val="nil"/>
              <w:right w:val="single" w:sz="8" w:space="0" w:color="auto"/>
            </w:tcBorders>
            <w:tcMar>
              <w:top w:w="0" w:type="dxa"/>
              <w:left w:w="70" w:type="dxa"/>
              <w:bottom w:w="0" w:type="dxa"/>
              <w:right w:w="70" w:type="dxa"/>
            </w:tcMar>
          </w:tcPr>
          <w:p w14:paraId="11FA330A" w14:textId="77777777" w:rsidR="00CA360A" w:rsidRDefault="00CA360A" w:rsidP="0087212A">
            <w:pPr>
              <w:rPr>
                <w:lang w:eastAsia="de-AT"/>
              </w:rPr>
            </w:pPr>
          </w:p>
        </w:tc>
        <w:tc>
          <w:tcPr>
            <w:tcW w:w="776" w:type="dxa"/>
            <w:tcBorders>
              <w:top w:val="single" w:sz="8" w:space="0" w:color="auto"/>
              <w:left w:val="nil"/>
              <w:bottom w:val="nil"/>
              <w:right w:val="single" w:sz="8" w:space="0" w:color="auto"/>
            </w:tcBorders>
            <w:tcMar>
              <w:top w:w="0" w:type="dxa"/>
              <w:left w:w="70" w:type="dxa"/>
              <w:bottom w:w="0" w:type="dxa"/>
              <w:right w:w="70" w:type="dxa"/>
            </w:tcMar>
          </w:tcPr>
          <w:p w14:paraId="4684CFB0" w14:textId="77777777" w:rsidR="00CA360A" w:rsidRDefault="00CA360A" w:rsidP="0087212A">
            <w:pPr>
              <w:rPr>
                <w:lang w:eastAsia="de-AT"/>
              </w:rPr>
            </w:pPr>
          </w:p>
        </w:tc>
        <w:tc>
          <w:tcPr>
            <w:tcW w:w="780" w:type="dxa"/>
            <w:tcBorders>
              <w:top w:val="single" w:sz="8" w:space="0" w:color="auto"/>
              <w:left w:val="nil"/>
              <w:bottom w:val="nil"/>
              <w:right w:val="single" w:sz="8" w:space="0" w:color="auto"/>
            </w:tcBorders>
            <w:tcMar>
              <w:top w:w="0" w:type="dxa"/>
              <w:left w:w="70" w:type="dxa"/>
              <w:bottom w:w="0" w:type="dxa"/>
              <w:right w:w="70" w:type="dxa"/>
            </w:tcMar>
          </w:tcPr>
          <w:p w14:paraId="70207098" w14:textId="77777777" w:rsidR="00CA360A" w:rsidRDefault="00CA360A" w:rsidP="0087212A">
            <w:pPr>
              <w:rPr>
                <w:lang w:eastAsia="de-AT"/>
              </w:rPr>
            </w:pPr>
          </w:p>
        </w:tc>
        <w:tc>
          <w:tcPr>
            <w:tcW w:w="776" w:type="dxa"/>
            <w:tcBorders>
              <w:top w:val="single" w:sz="8" w:space="0" w:color="auto"/>
              <w:left w:val="nil"/>
              <w:bottom w:val="nil"/>
              <w:right w:val="single" w:sz="8" w:space="0" w:color="auto"/>
            </w:tcBorders>
            <w:tcMar>
              <w:top w:w="0" w:type="dxa"/>
              <w:left w:w="70" w:type="dxa"/>
              <w:bottom w:w="0" w:type="dxa"/>
              <w:right w:w="70" w:type="dxa"/>
            </w:tcMar>
          </w:tcPr>
          <w:p w14:paraId="278C795F" w14:textId="77777777" w:rsidR="00CA360A" w:rsidRDefault="00CA360A" w:rsidP="0087212A">
            <w:pPr>
              <w:rPr>
                <w:lang w:eastAsia="de-AT"/>
              </w:rPr>
            </w:pPr>
          </w:p>
        </w:tc>
        <w:tc>
          <w:tcPr>
            <w:tcW w:w="780" w:type="dxa"/>
            <w:tcBorders>
              <w:top w:val="single" w:sz="8" w:space="0" w:color="auto"/>
              <w:left w:val="nil"/>
              <w:right w:val="single" w:sz="8" w:space="0" w:color="auto"/>
            </w:tcBorders>
            <w:tcMar>
              <w:top w:w="0" w:type="dxa"/>
              <w:left w:w="70" w:type="dxa"/>
              <w:bottom w:w="0" w:type="dxa"/>
              <w:right w:w="70" w:type="dxa"/>
            </w:tcMar>
          </w:tcPr>
          <w:p w14:paraId="5318F89E" w14:textId="77777777" w:rsidR="00CA360A" w:rsidRDefault="00CA360A" w:rsidP="0087212A">
            <w:pPr>
              <w:rPr>
                <w:lang w:eastAsia="de-AT"/>
              </w:rPr>
            </w:pPr>
          </w:p>
        </w:tc>
        <w:tc>
          <w:tcPr>
            <w:tcW w:w="776" w:type="dxa"/>
            <w:tcBorders>
              <w:top w:val="single" w:sz="8" w:space="0" w:color="auto"/>
              <w:left w:val="nil"/>
              <w:right w:val="single" w:sz="8" w:space="0" w:color="auto"/>
            </w:tcBorders>
            <w:tcMar>
              <w:top w:w="0" w:type="dxa"/>
              <w:left w:w="70" w:type="dxa"/>
              <w:bottom w:w="0" w:type="dxa"/>
              <w:right w:w="70" w:type="dxa"/>
            </w:tcMar>
          </w:tcPr>
          <w:p w14:paraId="0006ADB4" w14:textId="77777777" w:rsidR="00CA360A" w:rsidRDefault="00CA360A" w:rsidP="0087212A">
            <w:pPr>
              <w:rPr>
                <w:lang w:eastAsia="de-AT"/>
              </w:rPr>
            </w:pPr>
          </w:p>
        </w:tc>
      </w:tr>
      <w:tr w:rsidR="00CA360A" w:rsidRPr="003B66AB" w14:paraId="3A948C0C" w14:textId="77777777" w:rsidTr="0087212A">
        <w:trPr>
          <w:trHeight w:val="20"/>
        </w:trPr>
        <w:tc>
          <w:tcPr>
            <w:tcW w:w="4391" w:type="dxa"/>
            <w:gridSpan w:val="3"/>
            <w:tcBorders>
              <w:left w:val="single" w:sz="8" w:space="0" w:color="auto"/>
              <w:bottom w:val="nil"/>
              <w:right w:val="single" w:sz="8" w:space="0" w:color="auto"/>
            </w:tcBorders>
            <w:tcMar>
              <w:top w:w="0" w:type="dxa"/>
              <w:left w:w="70" w:type="dxa"/>
              <w:bottom w:w="0" w:type="dxa"/>
              <w:right w:w="70" w:type="dxa"/>
            </w:tcMar>
          </w:tcPr>
          <w:p w14:paraId="613071AB" w14:textId="77777777" w:rsidR="00CA360A" w:rsidRPr="00FB1F38" w:rsidRDefault="00CA360A" w:rsidP="0087212A">
            <w:pPr>
              <w:rPr>
                <w:b/>
                <w:bCs/>
                <w:lang w:eastAsia="de-AT"/>
              </w:rPr>
            </w:pPr>
            <w:r>
              <w:rPr>
                <w:bCs/>
                <w:sz w:val="20"/>
                <w:lang w:eastAsia="de-AT"/>
              </w:rPr>
              <w:t>A and B can be used either alter</w:t>
            </w:r>
            <w:r w:rsidRPr="00070FA9">
              <w:rPr>
                <w:bCs/>
                <w:sz w:val="20"/>
                <w:lang w:eastAsia="de-AT"/>
              </w:rPr>
              <w:t xml:space="preserve">natively or </w:t>
            </w:r>
            <w:r>
              <w:rPr>
                <w:bCs/>
                <w:sz w:val="20"/>
                <w:lang w:eastAsia="de-AT"/>
              </w:rPr>
              <w:t>in combination</w:t>
            </w:r>
            <w:r w:rsidRPr="00070FA9">
              <w:rPr>
                <w:bCs/>
                <w:sz w:val="20"/>
                <w:lang w:eastAsia="de-AT"/>
              </w:rPr>
              <w:t>. The total content of wetting agents in the formulation should be in the range of 0.15 to 2.6</w:t>
            </w:r>
          </w:p>
        </w:tc>
        <w:tc>
          <w:tcPr>
            <w:tcW w:w="764" w:type="dxa"/>
            <w:tcBorders>
              <w:left w:val="nil"/>
              <w:bottom w:val="nil"/>
              <w:right w:val="single" w:sz="8" w:space="0" w:color="auto"/>
            </w:tcBorders>
            <w:tcMar>
              <w:top w:w="0" w:type="dxa"/>
              <w:left w:w="70" w:type="dxa"/>
              <w:bottom w:w="0" w:type="dxa"/>
              <w:right w:w="70" w:type="dxa"/>
            </w:tcMar>
          </w:tcPr>
          <w:p w14:paraId="1A858491" w14:textId="77777777" w:rsidR="00CA360A" w:rsidRPr="00FB1F38" w:rsidRDefault="00CA360A" w:rsidP="0087212A">
            <w:pPr>
              <w:rPr>
                <w:lang w:eastAsia="de-AT"/>
              </w:rPr>
            </w:pPr>
          </w:p>
        </w:tc>
        <w:tc>
          <w:tcPr>
            <w:tcW w:w="780" w:type="dxa"/>
            <w:tcBorders>
              <w:left w:val="nil"/>
              <w:bottom w:val="nil"/>
              <w:right w:val="single" w:sz="8" w:space="0" w:color="auto"/>
            </w:tcBorders>
            <w:tcMar>
              <w:top w:w="0" w:type="dxa"/>
              <w:left w:w="70" w:type="dxa"/>
              <w:bottom w:w="0" w:type="dxa"/>
              <w:right w:w="70" w:type="dxa"/>
            </w:tcMar>
          </w:tcPr>
          <w:p w14:paraId="0F3B612E" w14:textId="77777777" w:rsidR="00CA360A" w:rsidRPr="00FB1F38" w:rsidRDefault="00CA360A" w:rsidP="0087212A">
            <w:pPr>
              <w:rPr>
                <w:lang w:eastAsia="de-AT"/>
              </w:rPr>
            </w:pPr>
          </w:p>
        </w:tc>
        <w:tc>
          <w:tcPr>
            <w:tcW w:w="776" w:type="dxa"/>
            <w:tcBorders>
              <w:left w:val="nil"/>
              <w:bottom w:val="nil"/>
              <w:right w:val="single" w:sz="8" w:space="0" w:color="auto"/>
            </w:tcBorders>
            <w:tcMar>
              <w:top w:w="0" w:type="dxa"/>
              <w:left w:w="70" w:type="dxa"/>
              <w:bottom w:w="0" w:type="dxa"/>
              <w:right w:w="70" w:type="dxa"/>
            </w:tcMar>
          </w:tcPr>
          <w:p w14:paraId="740BE585" w14:textId="77777777" w:rsidR="00CA360A" w:rsidRPr="00FB1F38" w:rsidRDefault="00CA360A" w:rsidP="0087212A">
            <w:pPr>
              <w:rPr>
                <w:lang w:eastAsia="de-AT"/>
              </w:rPr>
            </w:pPr>
          </w:p>
        </w:tc>
        <w:tc>
          <w:tcPr>
            <w:tcW w:w="780" w:type="dxa"/>
            <w:tcBorders>
              <w:left w:val="nil"/>
              <w:bottom w:val="nil"/>
              <w:right w:val="single" w:sz="8" w:space="0" w:color="auto"/>
            </w:tcBorders>
            <w:tcMar>
              <w:top w:w="0" w:type="dxa"/>
              <w:left w:w="70" w:type="dxa"/>
              <w:bottom w:w="0" w:type="dxa"/>
              <w:right w:w="70" w:type="dxa"/>
            </w:tcMar>
          </w:tcPr>
          <w:p w14:paraId="077107EC" w14:textId="77777777" w:rsidR="00CA360A" w:rsidRPr="00FB1F38" w:rsidRDefault="00CA360A" w:rsidP="0087212A">
            <w:pPr>
              <w:rPr>
                <w:lang w:eastAsia="de-AT"/>
              </w:rPr>
            </w:pPr>
          </w:p>
        </w:tc>
        <w:tc>
          <w:tcPr>
            <w:tcW w:w="776" w:type="dxa"/>
            <w:tcBorders>
              <w:left w:val="nil"/>
              <w:bottom w:val="nil"/>
              <w:right w:val="single" w:sz="8" w:space="0" w:color="auto"/>
            </w:tcBorders>
            <w:tcMar>
              <w:top w:w="0" w:type="dxa"/>
              <w:left w:w="70" w:type="dxa"/>
              <w:bottom w:w="0" w:type="dxa"/>
              <w:right w:w="70" w:type="dxa"/>
            </w:tcMar>
          </w:tcPr>
          <w:p w14:paraId="16498BBB" w14:textId="77777777" w:rsidR="00CA360A" w:rsidRPr="00FB1F38" w:rsidRDefault="00CA360A" w:rsidP="0087212A">
            <w:pPr>
              <w:rPr>
                <w:lang w:eastAsia="de-AT"/>
              </w:rPr>
            </w:pPr>
          </w:p>
        </w:tc>
        <w:tc>
          <w:tcPr>
            <w:tcW w:w="780" w:type="dxa"/>
            <w:tcBorders>
              <w:left w:val="nil"/>
              <w:bottom w:val="nil"/>
              <w:right w:val="single" w:sz="8" w:space="0" w:color="auto"/>
            </w:tcBorders>
            <w:tcMar>
              <w:top w:w="0" w:type="dxa"/>
              <w:left w:w="70" w:type="dxa"/>
              <w:bottom w:w="0" w:type="dxa"/>
              <w:right w:w="70" w:type="dxa"/>
            </w:tcMar>
          </w:tcPr>
          <w:p w14:paraId="1E8231BE" w14:textId="77777777" w:rsidR="00CA360A" w:rsidRPr="00FB1F38" w:rsidRDefault="00CA360A" w:rsidP="0087212A">
            <w:pPr>
              <w:rPr>
                <w:lang w:eastAsia="de-AT"/>
              </w:rPr>
            </w:pPr>
          </w:p>
        </w:tc>
        <w:tc>
          <w:tcPr>
            <w:tcW w:w="776" w:type="dxa"/>
            <w:tcBorders>
              <w:left w:val="nil"/>
              <w:bottom w:val="nil"/>
              <w:right w:val="single" w:sz="8" w:space="0" w:color="auto"/>
            </w:tcBorders>
            <w:tcMar>
              <w:top w:w="0" w:type="dxa"/>
              <w:left w:w="70" w:type="dxa"/>
              <w:bottom w:w="0" w:type="dxa"/>
              <w:right w:w="70" w:type="dxa"/>
            </w:tcMar>
          </w:tcPr>
          <w:p w14:paraId="03BB1155" w14:textId="77777777" w:rsidR="00CA360A" w:rsidRPr="00FB1F38" w:rsidRDefault="00CA360A" w:rsidP="0087212A">
            <w:pPr>
              <w:rPr>
                <w:lang w:eastAsia="de-AT"/>
              </w:rPr>
            </w:pPr>
          </w:p>
        </w:tc>
      </w:tr>
      <w:tr w:rsidR="00CA360A" w14:paraId="44E22DAE" w14:textId="77777777" w:rsidTr="0087212A">
        <w:trPr>
          <w:trHeight w:val="20"/>
        </w:trPr>
        <w:tc>
          <w:tcPr>
            <w:tcW w:w="2067"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14:paraId="6FCD7B9A" w14:textId="77777777" w:rsidR="00CA360A" w:rsidRDefault="00CA360A" w:rsidP="0087212A">
            <w:pPr>
              <w:spacing w:after="120"/>
              <w:rPr>
                <w:lang w:eastAsia="de-AT"/>
              </w:rPr>
            </w:pPr>
            <w:r>
              <w:rPr>
                <w:lang w:eastAsia="de-AT"/>
              </w:rPr>
              <w:t>Wetting Agent A</w:t>
            </w:r>
          </w:p>
        </w:tc>
        <w:tc>
          <w:tcPr>
            <w:tcW w:w="1076" w:type="dxa"/>
            <w:tcBorders>
              <w:top w:val="single" w:sz="8" w:space="0" w:color="auto"/>
              <w:left w:val="nil"/>
              <w:bottom w:val="nil"/>
              <w:right w:val="single" w:sz="8" w:space="0" w:color="auto"/>
            </w:tcBorders>
            <w:tcMar>
              <w:top w:w="0" w:type="dxa"/>
              <w:left w:w="70" w:type="dxa"/>
              <w:bottom w:w="0" w:type="dxa"/>
              <w:right w:w="70" w:type="dxa"/>
            </w:tcMar>
            <w:hideMark/>
          </w:tcPr>
          <w:p w14:paraId="390BBB95" w14:textId="77777777" w:rsidR="00CA360A" w:rsidRDefault="00CA360A" w:rsidP="0087212A">
            <w:pPr>
              <w:spacing w:after="120"/>
              <w:rPr>
                <w:lang w:eastAsia="de-AT"/>
              </w:rPr>
            </w:pPr>
            <w:r>
              <w:rPr>
                <w:lang w:eastAsia="de-AT"/>
              </w:rPr>
              <w:t>0.00</w:t>
            </w:r>
          </w:p>
        </w:tc>
        <w:tc>
          <w:tcPr>
            <w:tcW w:w="1248" w:type="dxa"/>
            <w:tcBorders>
              <w:top w:val="single" w:sz="8" w:space="0" w:color="auto"/>
              <w:left w:val="nil"/>
              <w:bottom w:val="nil"/>
              <w:right w:val="single" w:sz="8" w:space="0" w:color="auto"/>
            </w:tcBorders>
            <w:tcMar>
              <w:top w:w="0" w:type="dxa"/>
              <w:left w:w="70" w:type="dxa"/>
              <w:bottom w:w="0" w:type="dxa"/>
              <w:right w:w="70" w:type="dxa"/>
            </w:tcMar>
            <w:hideMark/>
          </w:tcPr>
          <w:p w14:paraId="122807B1" w14:textId="77777777" w:rsidR="00CA360A" w:rsidRDefault="00CA360A" w:rsidP="0087212A">
            <w:pPr>
              <w:spacing w:after="120"/>
              <w:rPr>
                <w:lang w:eastAsia="de-AT"/>
              </w:rPr>
            </w:pPr>
            <w:r>
              <w:rPr>
                <w:lang w:eastAsia="de-AT"/>
              </w:rPr>
              <w:t>0.20</w:t>
            </w:r>
          </w:p>
        </w:tc>
        <w:tc>
          <w:tcPr>
            <w:tcW w:w="764" w:type="dxa"/>
            <w:tcBorders>
              <w:top w:val="single" w:sz="8" w:space="0" w:color="auto"/>
              <w:left w:val="nil"/>
              <w:bottom w:val="nil"/>
              <w:right w:val="single" w:sz="8" w:space="0" w:color="auto"/>
            </w:tcBorders>
            <w:tcMar>
              <w:top w:w="0" w:type="dxa"/>
              <w:left w:w="70" w:type="dxa"/>
              <w:bottom w:w="0" w:type="dxa"/>
              <w:right w:w="70" w:type="dxa"/>
            </w:tcMar>
            <w:hideMark/>
          </w:tcPr>
          <w:p w14:paraId="24BBCC7F" w14:textId="77777777" w:rsidR="00CA360A" w:rsidRDefault="00CA360A" w:rsidP="0087212A">
            <w:pPr>
              <w:spacing w:after="120"/>
              <w:rPr>
                <w:lang w:eastAsia="de-AT"/>
              </w:rPr>
            </w:pPr>
          </w:p>
        </w:tc>
        <w:tc>
          <w:tcPr>
            <w:tcW w:w="780" w:type="dxa"/>
            <w:tcBorders>
              <w:top w:val="single" w:sz="8" w:space="0" w:color="auto"/>
              <w:left w:val="nil"/>
              <w:bottom w:val="nil"/>
              <w:right w:val="single" w:sz="8" w:space="0" w:color="auto"/>
            </w:tcBorders>
            <w:tcMar>
              <w:top w:w="0" w:type="dxa"/>
              <w:left w:w="70" w:type="dxa"/>
              <w:bottom w:w="0" w:type="dxa"/>
              <w:right w:w="70" w:type="dxa"/>
            </w:tcMar>
            <w:hideMark/>
          </w:tcPr>
          <w:p w14:paraId="53A0EAA5" w14:textId="77777777" w:rsidR="00CA360A" w:rsidRDefault="00CA360A" w:rsidP="0087212A">
            <w:pPr>
              <w:spacing w:after="120"/>
              <w:rPr>
                <w:rFonts w:ascii="Calibri" w:hAnsi="Calibri"/>
                <w:lang w:eastAsia="de-AT"/>
              </w:rPr>
            </w:pPr>
            <w:r>
              <w:rPr>
                <w:lang w:eastAsia="de-AT"/>
              </w:rPr>
              <w:t>0.15</w:t>
            </w:r>
          </w:p>
        </w:tc>
        <w:tc>
          <w:tcPr>
            <w:tcW w:w="776" w:type="dxa"/>
            <w:tcBorders>
              <w:top w:val="single" w:sz="8" w:space="0" w:color="auto"/>
              <w:left w:val="nil"/>
              <w:bottom w:val="nil"/>
              <w:right w:val="single" w:sz="8" w:space="0" w:color="auto"/>
            </w:tcBorders>
            <w:tcMar>
              <w:top w:w="0" w:type="dxa"/>
              <w:left w:w="70" w:type="dxa"/>
              <w:bottom w:w="0" w:type="dxa"/>
              <w:right w:w="70" w:type="dxa"/>
            </w:tcMar>
            <w:hideMark/>
          </w:tcPr>
          <w:p w14:paraId="5F5692DB" w14:textId="77777777" w:rsidR="00CA360A" w:rsidRDefault="00CA360A" w:rsidP="0087212A">
            <w:pPr>
              <w:spacing w:after="120"/>
              <w:rPr>
                <w:lang w:eastAsia="de-AT"/>
              </w:rPr>
            </w:pPr>
            <w:r>
              <w:rPr>
                <w:lang w:eastAsia="de-AT"/>
              </w:rPr>
              <w:t>0.20</w:t>
            </w:r>
          </w:p>
        </w:tc>
        <w:tc>
          <w:tcPr>
            <w:tcW w:w="780" w:type="dxa"/>
            <w:tcBorders>
              <w:top w:val="single" w:sz="8" w:space="0" w:color="auto"/>
              <w:left w:val="nil"/>
              <w:bottom w:val="nil"/>
              <w:right w:val="single" w:sz="8" w:space="0" w:color="auto"/>
            </w:tcBorders>
            <w:tcMar>
              <w:top w:w="0" w:type="dxa"/>
              <w:left w:w="70" w:type="dxa"/>
              <w:bottom w:w="0" w:type="dxa"/>
              <w:right w:w="70" w:type="dxa"/>
            </w:tcMar>
            <w:hideMark/>
          </w:tcPr>
          <w:p w14:paraId="174CD060" w14:textId="77777777" w:rsidR="00CA360A" w:rsidRDefault="00CA360A" w:rsidP="0087212A">
            <w:pPr>
              <w:spacing w:after="120"/>
              <w:rPr>
                <w:lang w:eastAsia="de-AT"/>
              </w:rPr>
            </w:pPr>
          </w:p>
        </w:tc>
        <w:tc>
          <w:tcPr>
            <w:tcW w:w="776" w:type="dxa"/>
            <w:tcBorders>
              <w:top w:val="single" w:sz="8" w:space="0" w:color="auto"/>
              <w:left w:val="nil"/>
              <w:bottom w:val="nil"/>
              <w:right w:val="single" w:sz="8" w:space="0" w:color="auto"/>
            </w:tcBorders>
            <w:tcMar>
              <w:top w:w="0" w:type="dxa"/>
              <w:left w:w="70" w:type="dxa"/>
              <w:bottom w:w="0" w:type="dxa"/>
              <w:right w:w="70" w:type="dxa"/>
            </w:tcMar>
            <w:hideMark/>
          </w:tcPr>
          <w:p w14:paraId="78E2AD2B" w14:textId="77777777" w:rsidR="00CA360A" w:rsidRDefault="00CA360A" w:rsidP="0087212A">
            <w:pPr>
              <w:spacing w:after="120"/>
              <w:rPr>
                <w:sz w:val="20"/>
                <w:lang w:val="de-DE" w:eastAsia="de-DE"/>
              </w:rPr>
            </w:pPr>
          </w:p>
        </w:tc>
        <w:tc>
          <w:tcPr>
            <w:tcW w:w="780" w:type="dxa"/>
            <w:tcBorders>
              <w:top w:val="single" w:sz="8" w:space="0" w:color="auto"/>
              <w:left w:val="nil"/>
              <w:bottom w:val="nil"/>
              <w:right w:val="single" w:sz="8" w:space="0" w:color="auto"/>
            </w:tcBorders>
            <w:tcMar>
              <w:top w:w="0" w:type="dxa"/>
              <w:left w:w="70" w:type="dxa"/>
              <w:bottom w:w="0" w:type="dxa"/>
              <w:right w:w="70" w:type="dxa"/>
            </w:tcMar>
            <w:hideMark/>
          </w:tcPr>
          <w:p w14:paraId="2B1A309A" w14:textId="77777777" w:rsidR="00CA360A" w:rsidRDefault="00CA360A" w:rsidP="0087212A">
            <w:pPr>
              <w:spacing w:after="120"/>
              <w:rPr>
                <w:sz w:val="20"/>
                <w:lang w:val="de-DE" w:eastAsia="de-DE"/>
              </w:rPr>
            </w:pPr>
          </w:p>
        </w:tc>
        <w:tc>
          <w:tcPr>
            <w:tcW w:w="776" w:type="dxa"/>
            <w:tcBorders>
              <w:top w:val="single" w:sz="8" w:space="0" w:color="auto"/>
              <w:left w:val="nil"/>
              <w:bottom w:val="nil"/>
              <w:right w:val="single" w:sz="8" w:space="0" w:color="auto"/>
            </w:tcBorders>
            <w:tcMar>
              <w:top w:w="0" w:type="dxa"/>
              <w:left w:w="70" w:type="dxa"/>
              <w:bottom w:w="0" w:type="dxa"/>
              <w:right w:w="70" w:type="dxa"/>
            </w:tcMar>
            <w:hideMark/>
          </w:tcPr>
          <w:p w14:paraId="26C73FAA" w14:textId="77777777" w:rsidR="00CA360A" w:rsidRDefault="00CA360A" w:rsidP="0087212A">
            <w:pPr>
              <w:spacing w:after="120"/>
              <w:rPr>
                <w:sz w:val="20"/>
                <w:lang w:val="de-DE" w:eastAsia="de-DE"/>
              </w:rPr>
            </w:pPr>
          </w:p>
        </w:tc>
      </w:tr>
      <w:tr w:rsidR="00CA360A" w14:paraId="5C33F5B5" w14:textId="77777777" w:rsidTr="0087212A">
        <w:trPr>
          <w:trHeight w:val="20"/>
        </w:trPr>
        <w:tc>
          <w:tcPr>
            <w:tcW w:w="2067" w:type="dxa"/>
            <w:tcBorders>
              <w:top w:val="nil"/>
              <w:left w:val="single" w:sz="8" w:space="0" w:color="auto"/>
              <w:bottom w:val="nil"/>
              <w:right w:val="single" w:sz="8" w:space="0" w:color="auto"/>
            </w:tcBorders>
            <w:tcMar>
              <w:top w:w="0" w:type="dxa"/>
              <w:left w:w="70" w:type="dxa"/>
              <w:bottom w:w="0" w:type="dxa"/>
              <w:right w:w="70" w:type="dxa"/>
            </w:tcMar>
            <w:hideMark/>
          </w:tcPr>
          <w:p w14:paraId="33FF4CA5" w14:textId="77777777" w:rsidR="00CA360A" w:rsidRDefault="00CA360A" w:rsidP="0087212A">
            <w:pPr>
              <w:spacing w:after="120"/>
              <w:rPr>
                <w:rFonts w:ascii="Calibri" w:hAnsi="Calibri"/>
                <w:lang w:eastAsia="de-AT"/>
              </w:rPr>
            </w:pPr>
            <w:r>
              <w:rPr>
                <w:lang w:eastAsia="de-AT"/>
              </w:rPr>
              <w:t>Wetting Agent B</w:t>
            </w:r>
          </w:p>
        </w:tc>
        <w:tc>
          <w:tcPr>
            <w:tcW w:w="1076" w:type="dxa"/>
            <w:tcBorders>
              <w:top w:val="nil"/>
              <w:left w:val="nil"/>
              <w:bottom w:val="nil"/>
              <w:right w:val="single" w:sz="8" w:space="0" w:color="auto"/>
            </w:tcBorders>
            <w:tcMar>
              <w:top w:w="0" w:type="dxa"/>
              <w:left w:w="70" w:type="dxa"/>
              <w:bottom w:w="0" w:type="dxa"/>
              <w:right w:w="70" w:type="dxa"/>
            </w:tcMar>
            <w:hideMark/>
          </w:tcPr>
          <w:p w14:paraId="642C2703" w14:textId="77777777" w:rsidR="00CA360A" w:rsidRDefault="00CA360A" w:rsidP="0087212A">
            <w:pPr>
              <w:spacing w:after="120"/>
              <w:rPr>
                <w:lang w:eastAsia="de-AT"/>
              </w:rPr>
            </w:pPr>
            <w:r>
              <w:rPr>
                <w:lang w:eastAsia="de-AT"/>
              </w:rPr>
              <w:t>0.00</w:t>
            </w:r>
          </w:p>
        </w:tc>
        <w:tc>
          <w:tcPr>
            <w:tcW w:w="1248" w:type="dxa"/>
            <w:tcBorders>
              <w:top w:val="nil"/>
              <w:left w:val="nil"/>
              <w:bottom w:val="nil"/>
              <w:right w:val="single" w:sz="8" w:space="0" w:color="auto"/>
            </w:tcBorders>
            <w:tcMar>
              <w:top w:w="0" w:type="dxa"/>
              <w:left w:w="70" w:type="dxa"/>
              <w:bottom w:w="0" w:type="dxa"/>
              <w:right w:w="70" w:type="dxa"/>
            </w:tcMar>
            <w:hideMark/>
          </w:tcPr>
          <w:p w14:paraId="0CE18C76" w14:textId="77777777" w:rsidR="00CA360A" w:rsidRDefault="00CA360A" w:rsidP="0087212A">
            <w:pPr>
              <w:spacing w:after="120"/>
              <w:rPr>
                <w:lang w:eastAsia="de-AT"/>
              </w:rPr>
            </w:pPr>
            <w:r>
              <w:rPr>
                <w:lang w:eastAsia="de-AT"/>
              </w:rPr>
              <w:t>2.58</w:t>
            </w:r>
          </w:p>
        </w:tc>
        <w:tc>
          <w:tcPr>
            <w:tcW w:w="764" w:type="dxa"/>
            <w:tcBorders>
              <w:top w:val="nil"/>
              <w:left w:val="nil"/>
              <w:bottom w:val="nil"/>
              <w:right w:val="single" w:sz="8" w:space="0" w:color="auto"/>
            </w:tcBorders>
            <w:tcMar>
              <w:top w:w="0" w:type="dxa"/>
              <w:left w:w="70" w:type="dxa"/>
              <w:bottom w:w="0" w:type="dxa"/>
              <w:right w:w="70" w:type="dxa"/>
            </w:tcMar>
            <w:hideMark/>
          </w:tcPr>
          <w:p w14:paraId="43D653B3" w14:textId="77777777" w:rsidR="00CA360A" w:rsidRDefault="00CA360A" w:rsidP="0087212A">
            <w:pPr>
              <w:spacing w:after="120"/>
              <w:rPr>
                <w:lang w:eastAsia="de-AT"/>
              </w:rPr>
            </w:pPr>
            <w:r>
              <w:rPr>
                <w:lang w:eastAsia="de-AT"/>
              </w:rPr>
              <w:t>0.15</w:t>
            </w:r>
          </w:p>
        </w:tc>
        <w:tc>
          <w:tcPr>
            <w:tcW w:w="780" w:type="dxa"/>
            <w:tcBorders>
              <w:top w:val="nil"/>
              <w:left w:val="nil"/>
              <w:bottom w:val="nil"/>
              <w:right w:val="single" w:sz="8" w:space="0" w:color="auto"/>
            </w:tcBorders>
            <w:tcMar>
              <w:top w:w="0" w:type="dxa"/>
              <w:left w:w="70" w:type="dxa"/>
              <w:bottom w:w="0" w:type="dxa"/>
              <w:right w:w="70" w:type="dxa"/>
            </w:tcMar>
            <w:hideMark/>
          </w:tcPr>
          <w:p w14:paraId="1055C2C9" w14:textId="77777777" w:rsidR="00CA360A" w:rsidRDefault="00CA360A" w:rsidP="0087212A">
            <w:pPr>
              <w:spacing w:after="120"/>
              <w:rPr>
                <w:lang w:eastAsia="de-AT"/>
              </w:rPr>
            </w:pPr>
          </w:p>
        </w:tc>
        <w:tc>
          <w:tcPr>
            <w:tcW w:w="776" w:type="dxa"/>
            <w:tcBorders>
              <w:top w:val="nil"/>
              <w:left w:val="nil"/>
              <w:bottom w:val="nil"/>
              <w:right w:val="single" w:sz="8" w:space="0" w:color="auto"/>
            </w:tcBorders>
            <w:tcMar>
              <w:top w:w="0" w:type="dxa"/>
              <w:left w:w="70" w:type="dxa"/>
              <w:bottom w:w="0" w:type="dxa"/>
              <w:right w:w="70" w:type="dxa"/>
            </w:tcMar>
            <w:hideMark/>
          </w:tcPr>
          <w:p w14:paraId="451E5ACE" w14:textId="77777777" w:rsidR="00CA360A" w:rsidRDefault="00CA360A" w:rsidP="0087212A">
            <w:pPr>
              <w:spacing w:after="120"/>
              <w:rPr>
                <w:sz w:val="20"/>
                <w:lang w:val="de-DE" w:eastAsia="de-DE"/>
              </w:rPr>
            </w:pPr>
          </w:p>
        </w:tc>
        <w:tc>
          <w:tcPr>
            <w:tcW w:w="780" w:type="dxa"/>
            <w:tcBorders>
              <w:top w:val="nil"/>
              <w:left w:val="nil"/>
              <w:bottom w:val="nil"/>
              <w:right w:val="single" w:sz="8" w:space="0" w:color="auto"/>
            </w:tcBorders>
            <w:tcMar>
              <w:top w:w="0" w:type="dxa"/>
              <w:left w:w="70" w:type="dxa"/>
              <w:bottom w:w="0" w:type="dxa"/>
              <w:right w:w="70" w:type="dxa"/>
            </w:tcMar>
            <w:hideMark/>
          </w:tcPr>
          <w:p w14:paraId="388E7D1C" w14:textId="77777777" w:rsidR="00CA360A" w:rsidRDefault="00CA360A" w:rsidP="0087212A">
            <w:pPr>
              <w:spacing w:after="120"/>
              <w:rPr>
                <w:rFonts w:ascii="Calibri" w:hAnsi="Calibri"/>
                <w:lang w:eastAsia="de-AT"/>
              </w:rPr>
            </w:pPr>
            <w:r>
              <w:rPr>
                <w:lang w:eastAsia="de-AT"/>
              </w:rPr>
              <w:t>0.15</w:t>
            </w:r>
          </w:p>
        </w:tc>
        <w:tc>
          <w:tcPr>
            <w:tcW w:w="776" w:type="dxa"/>
            <w:tcBorders>
              <w:top w:val="nil"/>
              <w:left w:val="nil"/>
              <w:bottom w:val="nil"/>
              <w:right w:val="single" w:sz="8" w:space="0" w:color="auto"/>
            </w:tcBorders>
            <w:tcMar>
              <w:top w:w="0" w:type="dxa"/>
              <w:left w:w="70" w:type="dxa"/>
              <w:bottom w:w="0" w:type="dxa"/>
              <w:right w:w="70" w:type="dxa"/>
            </w:tcMar>
            <w:hideMark/>
          </w:tcPr>
          <w:p w14:paraId="4D6260B4" w14:textId="77777777" w:rsidR="00CA360A" w:rsidRDefault="00CA360A" w:rsidP="0087212A">
            <w:pPr>
              <w:spacing w:after="120"/>
              <w:rPr>
                <w:rFonts w:ascii="Calibri" w:hAnsi="Calibri"/>
                <w:lang w:eastAsia="de-AT"/>
              </w:rPr>
            </w:pPr>
          </w:p>
        </w:tc>
        <w:tc>
          <w:tcPr>
            <w:tcW w:w="780" w:type="dxa"/>
            <w:tcBorders>
              <w:top w:val="nil"/>
              <w:left w:val="nil"/>
              <w:bottom w:val="nil"/>
              <w:right w:val="single" w:sz="8" w:space="0" w:color="auto"/>
            </w:tcBorders>
            <w:tcMar>
              <w:top w:w="0" w:type="dxa"/>
              <w:left w:w="70" w:type="dxa"/>
              <w:bottom w:w="0" w:type="dxa"/>
              <w:right w:w="70" w:type="dxa"/>
            </w:tcMar>
            <w:hideMark/>
          </w:tcPr>
          <w:p w14:paraId="5224C8CF" w14:textId="77777777" w:rsidR="00CA360A" w:rsidRDefault="00CA360A" w:rsidP="0087212A">
            <w:pPr>
              <w:spacing w:after="120"/>
              <w:rPr>
                <w:rFonts w:ascii="Calibri" w:hAnsi="Calibri"/>
                <w:lang w:eastAsia="de-AT"/>
              </w:rPr>
            </w:pPr>
            <w:r>
              <w:rPr>
                <w:lang w:eastAsia="de-AT"/>
              </w:rPr>
              <w:t>2.50</w:t>
            </w:r>
          </w:p>
        </w:tc>
        <w:tc>
          <w:tcPr>
            <w:tcW w:w="776" w:type="dxa"/>
            <w:tcBorders>
              <w:top w:val="nil"/>
              <w:left w:val="nil"/>
              <w:bottom w:val="nil"/>
              <w:right w:val="single" w:sz="8" w:space="0" w:color="auto"/>
            </w:tcBorders>
            <w:tcMar>
              <w:top w:w="0" w:type="dxa"/>
              <w:left w:w="70" w:type="dxa"/>
              <w:bottom w:w="0" w:type="dxa"/>
              <w:right w:w="70" w:type="dxa"/>
            </w:tcMar>
            <w:hideMark/>
          </w:tcPr>
          <w:p w14:paraId="68388ADC" w14:textId="77777777" w:rsidR="00CA360A" w:rsidRDefault="00CA360A" w:rsidP="0087212A">
            <w:pPr>
              <w:spacing w:after="120"/>
              <w:rPr>
                <w:lang w:eastAsia="de-AT"/>
              </w:rPr>
            </w:pPr>
            <w:r>
              <w:rPr>
                <w:lang w:eastAsia="de-AT"/>
              </w:rPr>
              <w:t>2.58</w:t>
            </w:r>
          </w:p>
        </w:tc>
      </w:tr>
      <w:tr w:rsidR="00CA360A" w14:paraId="29AF4B00" w14:textId="77777777" w:rsidTr="0087212A">
        <w:trPr>
          <w:trHeight w:val="20"/>
        </w:trPr>
        <w:tc>
          <w:tcPr>
            <w:tcW w:w="20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660E26" w14:textId="77777777" w:rsidR="00CA360A" w:rsidRDefault="00CA360A" w:rsidP="0087212A">
            <w:pPr>
              <w:spacing w:after="120"/>
              <w:rPr>
                <w:lang w:eastAsia="de-AT"/>
              </w:rPr>
            </w:pPr>
            <w:r>
              <w:rPr>
                <w:lang w:eastAsia="de-AT"/>
              </w:rPr>
              <w:t>Wetting Agent C</w:t>
            </w:r>
          </w:p>
        </w:tc>
        <w:tc>
          <w:tcPr>
            <w:tcW w:w="1076" w:type="dxa"/>
            <w:tcBorders>
              <w:top w:val="nil"/>
              <w:left w:val="nil"/>
              <w:bottom w:val="single" w:sz="8" w:space="0" w:color="auto"/>
              <w:right w:val="single" w:sz="8" w:space="0" w:color="auto"/>
            </w:tcBorders>
            <w:tcMar>
              <w:top w:w="0" w:type="dxa"/>
              <w:left w:w="70" w:type="dxa"/>
              <w:bottom w:w="0" w:type="dxa"/>
              <w:right w:w="70" w:type="dxa"/>
            </w:tcMar>
            <w:hideMark/>
          </w:tcPr>
          <w:p w14:paraId="7639A922" w14:textId="77777777" w:rsidR="00CA360A" w:rsidRDefault="00CA360A" w:rsidP="0087212A">
            <w:pPr>
              <w:spacing w:after="120"/>
              <w:rPr>
                <w:lang w:eastAsia="de-AT"/>
              </w:rPr>
            </w:pPr>
            <w:r>
              <w:rPr>
                <w:lang w:eastAsia="de-AT"/>
              </w:rPr>
              <w:t>0.00</w:t>
            </w:r>
          </w:p>
        </w:tc>
        <w:tc>
          <w:tcPr>
            <w:tcW w:w="1248" w:type="dxa"/>
            <w:tcBorders>
              <w:top w:val="nil"/>
              <w:left w:val="nil"/>
              <w:bottom w:val="single" w:sz="8" w:space="0" w:color="auto"/>
              <w:right w:val="single" w:sz="8" w:space="0" w:color="auto"/>
            </w:tcBorders>
            <w:tcMar>
              <w:top w:w="0" w:type="dxa"/>
              <w:left w:w="70" w:type="dxa"/>
              <w:bottom w:w="0" w:type="dxa"/>
              <w:right w:w="70" w:type="dxa"/>
            </w:tcMar>
            <w:hideMark/>
          </w:tcPr>
          <w:p w14:paraId="1D1A7BAF" w14:textId="77777777" w:rsidR="00CA360A" w:rsidRDefault="00CA360A" w:rsidP="0087212A">
            <w:pPr>
              <w:spacing w:after="120"/>
              <w:rPr>
                <w:lang w:eastAsia="de-AT"/>
              </w:rPr>
            </w:pPr>
            <w:r>
              <w:rPr>
                <w:lang w:eastAsia="de-AT"/>
              </w:rPr>
              <w:t>1.50</w:t>
            </w:r>
          </w:p>
        </w:tc>
        <w:tc>
          <w:tcPr>
            <w:tcW w:w="764" w:type="dxa"/>
            <w:tcBorders>
              <w:top w:val="nil"/>
              <w:left w:val="nil"/>
              <w:bottom w:val="single" w:sz="8" w:space="0" w:color="auto"/>
              <w:right w:val="single" w:sz="8" w:space="0" w:color="auto"/>
            </w:tcBorders>
            <w:tcMar>
              <w:top w:w="0" w:type="dxa"/>
              <w:left w:w="70" w:type="dxa"/>
              <w:bottom w:w="0" w:type="dxa"/>
              <w:right w:w="70" w:type="dxa"/>
            </w:tcMar>
            <w:hideMark/>
          </w:tcPr>
          <w:p w14:paraId="1C07A5A5" w14:textId="77777777" w:rsidR="00CA360A" w:rsidRDefault="00CA360A" w:rsidP="0087212A">
            <w:pPr>
              <w:spacing w:after="120"/>
              <w:rPr>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6C6A5FD7" w14:textId="77777777" w:rsidR="00CA360A" w:rsidRDefault="00CA360A" w:rsidP="0087212A">
            <w:pPr>
              <w:spacing w:after="120"/>
              <w:rPr>
                <w:rFonts w:ascii="Calibri" w:hAnsi="Calibri"/>
                <w:lang w:eastAsia="de-AT"/>
              </w:rPr>
            </w:pPr>
            <w:r>
              <w:rPr>
                <w:lang w:eastAsia="de-AT"/>
              </w:rPr>
              <w:t>0.10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47EB9E16" w14:textId="77777777" w:rsidR="00CA360A" w:rsidRDefault="00CA360A" w:rsidP="0087212A">
            <w:pPr>
              <w:spacing w:after="120"/>
              <w:rPr>
                <w:rFonts w:ascii="Calibri" w:hAnsi="Calibri"/>
                <w:lang w:eastAsia="de-AT"/>
              </w:rPr>
            </w:pP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351C89E2" w14:textId="77777777" w:rsidR="00CA360A" w:rsidRDefault="00CA360A" w:rsidP="0087212A">
            <w:pPr>
              <w:spacing w:after="120"/>
              <w:rPr>
                <w:rFonts w:ascii="Calibri" w:hAnsi="Calibri"/>
                <w:lang w:eastAsia="de-AT"/>
              </w:rPr>
            </w:pPr>
            <w:r>
              <w:rPr>
                <w:lang w:eastAsia="de-AT"/>
              </w:rPr>
              <w:t>0.10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22E27F6A" w14:textId="77777777" w:rsidR="00CA360A" w:rsidRDefault="00CA360A" w:rsidP="0087212A">
            <w:pPr>
              <w:spacing w:after="120"/>
              <w:rPr>
                <w:lang w:eastAsia="de-AT"/>
              </w:rPr>
            </w:pPr>
            <w:r>
              <w:rPr>
                <w:lang w:eastAsia="de-AT"/>
              </w:rPr>
              <w:t>1.50</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663ED6F4" w14:textId="77777777" w:rsidR="00CA360A" w:rsidRDefault="00CA360A" w:rsidP="0087212A">
            <w:pPr>
              <w:spacing w:after="120"/>
              <w:rPr>
                <w:lang w:eastAsia="de-AT"/>
              </w:rPr>
            </w:pPr>
            <w:r>
              <w:rPr>
                <w:lang w:eastAsia="de-AT"/>
              </w:rPr>
              <w:t>0.10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13C9397E" w14:textId="77777777" w:rsidR="00CA360A" w:rsidRDefault="00CA360A" w:rsidP="0087212A">
            <w:pPr>
              <w:spacing w:after="120"/>
              <w:rPr>
                <w:lang w:eastAsia="de-AT"/>
              </w:rPr>
            </w:pPr>
          </w:p>
        </w:tc>
      </w:tr>
      <w:tr w:rsidR="00CA360A" w14:paraId="660B15C6" w14:textId="77777777" w:rsidTr="0087212A">
        <w:trPr>
          <w:trHeight w:val="283"/>
        </w:trPr>
        <w:tc>
          <w:tcPr>
            <w:tcW w:w="206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4DD09A1" w14:textId="77777777" w:rsidR="00CA360A" w:rsidRDefault="00CA360A" w:rsidP="0087212A">
            <w:pPr>
              <w:rPr>
                <w:rFonts w:ascii="Calibri" w:hAnsi="Calibri"/>
                <w:lang w:eastAsia="de-AT"/>
              </w:rPr>
            </w:pPr>
            <w:r>
              <w:rPr>
                <w:lang w:eastAsia="de-AT"/>
              </w:rPr>
              <w:t>Solvent</w:t>
            </w:r>
          </w:p>
        </w:tc>
        <w:tc>
          <w:tcPr>
            <w:tcW w:w="1076" w:type="dxa"/>
            <w:tcBorders>
              <w:top w:val="nil"/>
              <w:left w:val="nil"/>
              <w:bottom w:val="single" w:sz="8" w:space="0" w:color="auto"/>
              <w:right w:val="single" w:sz="8" w:space="0" w:color="auto"/>
            </w:tcBorders>
            <w:tcMar>
              <w:top w:w="0" w:type="dxa"/>
              <w:left w:w="70" w:type="dxa"/>
              <w:bottom w:w="0" w:type="dxa"/>
              <w:right w:w="70" w:type="dxa"/>
            </w:tcMar>
            <w:hideMark/>
          </w:tcPr>
          <w:p w14:paraId="6EC73C07" w14:textId="77777777" w:rsidR="00CA360A" w:rsidRDefault="00CA360A" w:rsidP="0087212A">
            <w:pPr>
              <w:rPr>
                <w:b/>
                <w:bCs/>
                <w:lang w:eastAsia="de-AT"/>
              </w:rPr>
            </w:pPr>
            <w:r>
              <w:rPr>
                <w:lang w:eastAsia="de-AT"/>
              </w:rPr>
              <w:t>83.7</w:t>
            </w:r>
          </w:p>
        </w:tc>
        <w:tc>
          <w:tcPr>
            <w:tcW w:w="1248" w:type="dxa"/>
            <w:tcBorders>
              <w:top w:val="nil"/>
              <w:left w:val="nil"/>
              <w:bottom w:val="single" w:sz="8" w:space="0" w:color="auto"/>
              <w:right w:val="single" w:sz="8" w:space="0" w:color="auto"/>
            </w:tcBorders>
            <w:tcMar>
              <w:top w:w="0" w:type="dxa"/>
              <w:left w:w="70" w:type="dxa"/>
              <w:bottom w:w="0" w:type="dxa"/>
              <w:right w:w="70" w:type="dxa"/>
            </w:tcMar>
            <w:hideMark/>
          </w:tcPr>
          <w:p w14:paraId="6C56D0E0" w14:textId="77777777" w:rsidR="00CA360A" w:rsidRDefault="00CA360A" w:rsidP="0087212A">
            <w:pPr>
              <w:rPr>
                <w:lang w:eastAsia="de-AT"/>
              </w:rPr>
            </w:pPr>
            <w:r>
              <w:rPr>
                <w:lang w:eastAsia="de-AT"/>
              </w:rPr>
              <w:t>94.13</w:t>
            </w:r>
          </w:p>
        </w:tc>
        <w:tc>
          <w:tcPr>
            <w:tcW w:w="764" w:type="dxa"/>
            <w:tcBorders>
              <w:top w:val="nil"/>
              <w:left w:val="nil"/>
              <w:bottom w:val="single" w:sz="8" w:space="0" w:color="auto"/>
              <w:right w:val="single" w:sz="8" w:space="0" w:color="auto"/>
            </w:tcBorders>
            <w:tcMar>
              <w:top w:w="0" w:type="dxa"/>
              <w:left w:w="70" w:type="dxa"/>
              <w:bottom w:w="0" w:type="dxa"/>
              <w:right w:w="70" w:type="dxa"/>
            </w:tcMar>
            <w:hideMark/>
          </w:tcPr>
          <w:p w14:paraId="599816C9" w14:textId="77777777" w:rsidR="00CA360A" w:rsidRDefault="00CA360A" w:rsidP="009F52E5">
            <w:pPr>
              <w:rPr>
                <w:lang w:eastAsia="de-AT"/>
              </w:rPr>
            </w:pPr>
            <w:r>
              <w:rPr>
                <w:lang w:eastAsia="de-AT"/>
              </w:rPr>
              <w:t>ad</w:t>
            </w:r>
            <w:r w:rsidR="009F52E5">
              <w:rPr>
                <w:lang w:eastAsia="de-AT"/>
              </w:rPr>
              <w:t>1</w:t>
            </w:r>
            <w:r>
              <w:rPr>
                <w:lang w:eastAsia="de-AT"/>
              </w:rPr>
              <w:t>00</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3AAF0F23" w14:textId="77777777" w:rsidR="00CA360A" w:rsidRDefault="00CA360A" w:rsidP="0087212A">
            <w:pPr>
              <w:rPr>
                <w:lang w:eastAsia="de-AT"/>
              </w:rPr>
            </w:pPr>
            <w:r>
              <w:rPr>
                <w:lang w:eastAsia="de-AT"/>
              </w:rPr>
              <w:t>ad 100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68E47DB1" w14:textId="77777777" w:rsidR="00CA360A" w:rsidRDefault="00CA360A" w:rsidP="0087212A">
            <w:pPr>
              <w:rPr>
                <w:lang w:eastAsia="de-AT"/>
              </w:rPr>
            </w:pPr>
            <w:r>
              <w:rPr>
                <w:lang w:eastAsia="de-AT"/>
              </w:rPr>
              <w:t>ad 100</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20B6D02F" w14:textId="77777777" w:rsidR="00CA360A" w:rsidRDefault="00CA360A" w:rsidP="0087212A">
            <w:pPr>
              <w:rPr>
                <w:lang w:eastAsia="de-AT"/>
              </w:rPr>
            </w:pPr>
            <w:r>
              <w:rPr>
                <w:lang w:eastAsia="de-AT"/>
              </w:rPr>
              <w:t>ad 100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205D6F98" w14:textId="77777777" w:rsidR="00CA360A" w:rsidRDefault="00CA360A" w:rsidP="0087212A">
            <w:pPr>
              <w:rPr>
                <w:lang w:eastAsia="de-AT"/>
              </w:rPr>
            </w:pPr>
            <w:r>
              <w:rPr>
                <w:lang w:eastAsia="de-AT"/>
              </w:rPr>
              <w:t>ad 100</w:t>
            </w:r>
          </w:p>
        </w:tc>
        <w:tc>
          <w:tcPr>
            <w:tcW w:w="780" w:type="dxa"/>
            <w:tcBorders>
              <w:top w:val="nil"/>
              <w:left w:val="nil"/>
              <w:bottom w:val="single" w:sz="8" w:space="0" w:color="auto"/>
              <w:right w:val="single" w:sz="8" w:space="0" w:color="auto"/>
            </w:tcBorders>
            <w:tcMar>
              <w:top w:w="0" w:type="dxa"/>
              <w:left w:w="70" w:type="dxa"/>
              <w:bottom w:w="0" w:type="dxa"/>
              <w:right w:w="70" w:type="dxa"/>
            </w:tcMar>
            <w:hideMark/>
          </w:tcPr>
          <w:p w14:paraId="3B8EEFDD" w14:textId="77777777" w:rsidR="00CA360A" w:rsidRDefault="00CA360A" w:rsidP="0087212A">
            <w:pPr>
              <w:rPr>
                <w:lang w:eastAsia="de-AT"/>
              </w:rPr>
            </w:pPr>
            <w:r>
              <w:rPr>
                <w:lang w:eastAsia="de-AT"/>
              </w:rPr>
              <w:t>ad 100</w:t>
            </w:r>
          </w:p>
        </w:tc>
        <w:tc>
          <w:tcPr>
            <w:tcW w:w="776" w:type="dxa"/>
            <w:tcBorders>
              <w:top w:val="nil"/>
              <w:left w:val="nil"/>
              <w:bottom w:val="single" w:sz="8" w:space="0" w:color="auto"/>
              <w:right w:val="single" w:sz="8" w:space="0" w:color="auto"/>
            </w:tcBorders>
            <w:tcMar>
              <w:top w:w="0" w:type="dxa"/>
              <w:left w:w="70" w:type="dxa"/>
              <w:bottom w:w="0" w:type="dxa"/>
              <w:right w:w="70" w:type="dxa"/>
            </w:tcMar>
            <w:hideMark/>
          </w:tcPr>
          <w:p w14:paraId="7594BC5C" w14:textId="77777777" w:rsidR="00CA360A" w:rsidRDefault="00CA360A" w:rsidP="0087212A">
            <w:pPr>
              <w:rPr>
                <w:lang w:eastAsia="de-AT"/>
              </w:rPr>
            </w:pPr>
            <w:r>
              <w:rPr>
                <w:lang w:eastAsia="de-AT"/>
              </w:rPr>
              <w:t>ad 100</w:t>
            </w:r>
          </w:p>
        </w:tc>
      </w:tr>
    </w:tbl>
    <w:p w14:paraId="524F2C9D" w14:textId="77777777" w:rsidR="00481BD9" w:rsidRDefault="00481BD9" w:rsidP="00ED7CC5">
      <w:pPr>
        <w:pStyle w:val="HistoryTable"/>
        <w:rPr>
          <w:lang w:eastAsia="en-US"/>
        </w:rPr>
        <w:sectPr w:rsidR="00481BD9">
          <w:pgSz w:w="11906" w:h="16838"/>
          <w:pgMar w:top="1020" w:right="1701" w:bottom="1020" w:left="1587" w:header="601" w:footer="1077" w:gutter="0"/>
          <w:cols w:space="720"/>
          <w:titlePg/>
          <w:docGrid w:linePitch="326"/>
        </w:sectPr>
      </w:pPr>
    </w:p>
    <w:p w14:paraId="426F5B27" w14:textId="77777777" w:rsidR="00ED7CC5" w:rsidRDefault="00481BD9" w:rsidP="00481BD9">
      <w:pPr>
        <w:pStyle w:val="HistTableHeading"/>
      </w:pPr>
      <w:r>
        <w:lastRenderedPageBreak/>
        <w:t>Annex IV</w:t>
      </w:r>
    </w:p>
    <w:p w14:paraId="4508B205" w14:textId="77777777" w:rsidR="00481BD9" w:rsidRDefault="004B10E6" w:rsidP="0085677E">
      <w:pPr>
        <w:pStyle w:val="HistTableHeading"/>
      </w:pPr>
      <w:r>
        <w:t xml:space="preserve">Excel application to assist on decision regarding the </w:t>
      </w:r>
      <w:r w:rsidR="0085677E">
        <w:t>similarity of uses</w:t>
      </w:r>
    </w:p>
    <w:p w14:paraId="79A25543" w14:textId="4EAD424A" w:rsidR="00E854C5" w:rsidRPr="00E854C5" w:rsidRDefault="00E854C5" w:rsidP="00E15E5E">
      <w:pPr>
        <w:pStyle w:val="HistoryTable"/>
        <w:jc w:val="both"/>
        <w:rPr>
          <w:sz w:val="24"/>
          <w:szCs w:val="24"/>
        </w:rPr>
      </w:pPr>
      <w:r w:rsidRPr="00E854C5">
        <w:rPr>
          <w:sz w:val="24"/>
          <w:szCs w:val="24"/>
        </w:rPr>
        <w:t xml:space="preserve">A tool in the form of a matrix has been developed according to the criteria described in </w:t>
      </w:r>
      <w:r w:rsidR="00CB006E">
        <w:rPr>
          <w:sz w:val="24"/>
          <w:szCs w:val="24"/>
        </w:rPr>
        <w:t>point</w:t>
      </w:r>
      <w:r w:rsidRPr="00E854C5">
        <w:rPr>
          <w:sz w:val="24"/>
          <w:szCs w:val="24"/>
        </w:rPr>
        <w:t xml:space="preserve"> </w:t>
      </w:r>
      <w:r w:rsidR="00E15E5E">
        <w:rPr>
          <w:sz w:val="24"/>
          <w:szCs w:val="24"/>
        </w:rPr>
        <w:t>3.</w:t>
      </w:r>
      <w:r w:rsidR="009A5C00">
        <w:rPr>
          <w:sz w:val="24"/>
          <w:szCs w:val="24"/>
        </w:rPr>
        <w:t>2.3</w:t>
      </w:r>
      <w:r w:rsidRPr="00E854C5">
        <w:rPr>
          <w:sz w:val="24"/>
          <w:szCs w:val="24"/>
        </w:rPr>
        <w:t xml:space="preserve"> in order to assist in the decision of considering similarity of uses. Please note that the matrix is an indication/reflection of the outcome of the </w:t>
      </w:r>
      <w:r w:rsidRPr="00E854C5">
        <w:rPr>
          <w:i/>
          <w:sz w:val="24"/>
          <w:szCs w:val="24"/>
        </w:rPr>
        <w:t>decision tree</w:t>
      </w:r>
      <w:r w:rsidRPr="00E854C5">
        <w:rPr>
          <w:sz w:val="24"/>
          <w:szCs w:val="24"/>
        </w:rPr>
        <w:t xml:space="preserve">. The basis for decision on similarity of uses is the general criteria included in the decision tree and </w:t>
      </w:r>
      <w:r w:rsidR="009A5C00">
        <w:rPr>
          <w:sz w:val="24"/>
          <w:szCs w:val="24"/>
        </w:rPr>
        <w:t xml:space="preserve">its </w:t>
      </w:r>
      <w:r w:rsidRPr="00E854C5">
        <w:rPr>
          <w:sz w:val="24"/>
          <w:szCs w:val="24"/>
        </w:rPr>
        <w:t>associated text</w:t>
      </w:r>
      <w:r w:rsidRPr="00E854C5">
        <w:rPr>
          <w:sz w:val="24"/>
          <w:szCs w:val="24"/>
          <w:vertAlign w:val="superscript"/>
        </w:rPr>
        <w:footnoteReference w:id="37"/>
      </w:r>
      <w:r w:rsidRPr="00E854C5">
        <w:rPr>
          <w:sz w:val="24"/>
          <w:szCs w:val="24"/>
        </w:rPr>
        <w:t xml:space="preserve">. </w:t>
      </w:r>
    </w:p>
    <w:p w14:paraId="63ADD74F" w14:textId="77777777" w:rsidR="00E854C5" w:rsidRPr="00E854C5" w:rsidRDefault="00E854C5" w:rsidP="00E854C5">
      <w:pPr>
        <w:pStyle w:val="HistoryTable"/>
        <w:rPr>
          <w:sz w:val="24"/>
          <w:szCs w:val="24"/>
          <w:lang w:val="en-IE"/>
        </w:rPr>
      </w:pPr>
      <w:r w:rsidRPr="00E854C5">
        <w:rPr>
          <w:sz w:val="24"/>
          <w:szCs w:val="24"/>
          <w:lang w:val="en-IE"/>
        </w:rPr>
        <w:t>The matrix is based on a traffic light code:</w:t>
      </w:r>
    </w:p>
    <w:p w14:paraId="1F29E82A" w14:textId="77777777" w:rsidR="00E854C5" w:rsidRPr="00E854C5" w:rsidRDefault="00E854C5" w:rsidP="00133C1C">
      <w:pPr>
        <w:pStyle w:val="HistoryTable"/>
        <w:numPr>
          <w:ilvl w:val="0"/>
          <w:numId w:val="22"/>
        </w:numPr>
        <w:spacing w:after="0"/>
        <w:rPr>
          <w:sz w:val="24"/>
          <w:szCs w:val="24"/>
          <w:lang w:val="en-IE"/>
        </w:rPr>
      </w:pPr>
      <w:r w:rsidRPr="00E854C5">
        <w:rPr>
          <w:sz w:val="24"/>
          <w:szCs w:val="24"/>
          <w:lang w:val="en-IE"/>
        </w:rPr>
        <w:t>Red: uses cannot be considered as similar.</w:t>
      </w:r>
    </w:p>
    <w:p w14:paraId="25BC4D67" w14:textId="77777777" w:rsidR="00E854C5" w:rsidRPr="00E854C5" w:rsidRDefault="00E854C5" w:rsidP="00133C1C">
      <w:pPr>
        <w:pStyle w:val="HistoryTable"/>
        <w:numPr>
          <w:ilvl w:val="0"/>
          <w:numId w:val="22"/>
        </w:numPr>
        <w:spacing w:after="0"/>
        <w:rPr>
          <w:sz w:val="24"/>
          <w:szCs w:val="24"/>
          <w:lang w:val="en-IE"/>
        </w:rPr>
      </w:pPr>
      <w:r w:rsidRPr="00E854C5">
        <w:rPr>
          <w:sz w:val="24"/>
          <w:szCs w:val="24"/>
          <w:lang w:val="en-IE"/>
        </w:rPr>
        <w:t>Yellow: uses may be considered as similar on a case by case basis.</w:t>
      </w:r>
    </w:p>
    <w:p w14:paraId="43F24075" w14:textId="77777777" w:rsidR="00E854C5" w:rsidRPr="00E854C5" w:rsidRDefault="00E854C5" w:rsidP="00133C1C">
      <w:pPr>
        <w:pStyle w:val="HistoryTable"/>
        <w:numPr>
          <w:ilvl w:val="0"/>
          <w:numId w:val="22"/>
        </w:numPr>
        <w:spacing w:after="0"/>
        <w:rPr>
          <w:sz w:val="24"/>
          <w:szCs w:val="24"/>
          <w:lang w:val="en-IE"/>
        </w:rPr>
      </w:pPr>
      <w:r w:rsidRPr="00E854C5">
        <w:rPr>
          <w:sz w:val="24"/>
          <w:szCs w:val="24"/>
          <w:lang w:val="en-IE"/>
        </w:rPr>
        <w:t>Green: uses can be considered as similar.</w:t>
      </w:r>
    </w:p>
    <w:p w14:paraId="3F9FB2C1" w14:textId="77777777" w:rsidR="00E854C5" w:rsidRPr="00E854C5" w:rsidRDefault="00E854C5" w:rsidP="00E7732B">
      <w:pPr>
        <w:pStyle w:val="HistoryTable"/>
        <w:jc w:val="both"/>
        <w:rPr>
          <w:sz w:val="24"/>
          <w:szCs w:val="24"/>
        </w:rPr>
      </w:pPr>
      <w:r w:rsidRPr="00E854C5">
        <w:rPr>
          <w:sz w:val="24"/>
          <w:szCs w:val="24"/>
        </w:rPr>
        <w:t xml:space="preserve">The matrix has been constructed </w:t>
      </w:r>
      <w:r>
        <w:rPr>
          <w:sz w:val="24"/>
          <w:szCs w:val="24"/>
        </w:rPr>
        <w:t xml:space="preserve">to cover </w:t>
      </w:r>
      <w:r w:rsidRPr="00E854C5">
        <w:rPr>
          <w:sz w:val="24"/>
          <w:szCs w:val="24"/>
        </w:rPr>
        <w:t>a number of possible use patterns to which the different specific uses (as described in the tables of section 4 in the SPC) can be assigned. The list of use patterns included in the matrix is given below:</w:t>
      </w:r>
      <w:r w:rsidRPr="00E854C5">
        <w:rPr>
          <w:sz w:val="24"/>
          <w:szCs w:val="24"/>
          <w:vertAlign w:val="superscript"/>
        </w:rPr>
        <w:footnoteReference w:id="38"/>
      </w:r>
    </w:p>
    <w:p w14:paraId="6C995F51" w14:textId="77777777" w:rsidR="00E854C5" w:rsidRPr="001E14DE" w:rsidRDefault="001E14DE" w:rsidP="00E854C5">
      <w:pPr>
        <w:pStyle w:val="HistoryTable"/>
        <w:rPr>
          <w:b/>
        </w:rPr>
      </w:pPr>
      <w:r w:rsidRPr="001E14DE">
        <w:rPr>
          <w:b/>
        </w:rPr>
        <w:t>Table 2:</w:t>
      </w:r>
    </w:p>
    <w:tbl>
      <w:tblPr>
        <w:tblW w:w="83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600"/>
        <w:gridCol w:w="1460"/>
        <w:gridCol w:w="5449"/>
      </w:tblGrid>
      <w:tr w:rsidR="00E854C5" w:rsidRPr="00E854C5" w14:paraId="58C9C4AA" w14:textId="77777777" w:rsidTr="0087212A">
        <w:trPr>
          <w:trHeight w:val="699"/>
          <w:tblHeader/>
        </w:trPr>
        <w:tc>
          <w:tcPr>
            <w:tcW w:w="800" w:type="dxa"/>
            <w:shd w:val="clear" w:color="auto" w:fill="9CC2E5" w:themeFill="accent1" w:themeFillTint="99"/>
            <w:hideMark/>
          </w:tcPr>
          <w:p w14:paraId="52EA9206" w14:textId="77777777" w:rsidR="00E854C5" w:rsidRPr="00E854C5" w:rsidRDefault="00E854C5" w:rsidP="00E854C5">
            <w:pPr>
              <w:pStyle w:val="HistoryTable"/>
              <w:rPr>
                <w:b/>
                <w:bCs/>
              </w:rPr>
            </w:pPr>
            <w:r w:rsidRPr="00E854C5">
              <w:rPr>
                <w:b/>
                <w:bCs/>
              </w:rPr>
              <w:t>PTs</w:t>
            </w:r>
          </w:p>
        </w:tc>
        <w:tc>
          <w:tcPr>
            <w:tcW w:w="600" w:type="dxa"/>
            <w:shd w:val="clear" w:color="auto" w:fill="9CC2E5" w:themeFill="accent1" w:themeFillTint="99"/>
            <w:hideMark/>
          </w:tcPr>
          <w:p w14:paraId="0BF0C3BA" w14:textId="77777777" w:rsidR="00E854C5" w:rsidRPr="00E854C5" w:rsidRDefault="00E854C5" w:rsidP="00E854C5">
            <w:pPr>
              <w:pStyle w:val="HistoryTable"/>
              <w:rPr>
                <w:b/>
                <w:bCs/>
              </w:rPr>
            </w:pPr>
            <w:r w:rsidRPr="00E854C5">
              <w:rPr>
                <w:b/>
                <w:bCs/>
              </w:rPr>
              <w:t>Ref</w:t>
            </w:r>
          </w:p>
        </w:tc>
        <w:tc>
          <w:tcPr>
            <w:tcW w:w="1460" w:type="dxa"/>
            <w:shd w:val="clear" w:color="auto" w:fill="9CC2E5" w:themeFill="accent1" w:themeFillTint="99"/>
            <w:hideMark/>
          </w:tcPr>
          <w:p w14:paraId="2E917E5A" w14:textId="77777777" w:rsidR="00E854C5" w:rsidRPr="00E854C5" w:rsidRDefault="00E854C5" w:rsidP="00E854C5">
            <w:pPr>
              <w:pStyle w:val="HistoryTable"/>
              <w:rPr>
                <w:b/>
                <w:bCs/>
              </w:rPr>
            </w:pPr>
            <w:r w:rsidRPr="00E854C5">
              <w:rPr>
                <w:b/>
                <w:bCs/>
              </w:rPr>
              <w:t>Use object, pattern category</w:t>
            </w:r>
          </w:p>
        </w:tc>
        <w:tc>
          <w:tcPr>
            <w:tcW w:w="5449" w:type="dxa"/>
            <w:shd w:val="clear" w:color="auto" w:fill="9CC2E5" w:themeFill="accent1" w:themeFillTint="99"/>
            <w:noWrap/>
            <w:hideMark/>
          </w:tcPr>
          <w:p w14:paraId="1EA91CFC" w14:textId="77777777" w:rsidR="00E854C5" w:rsidRPr="00E854C5" w:rsidRDefault="00E854C5" w:rsidP="00E854C5">
            <w:pPr>
              <w:pStyle w:val="HistoryTable"/>
              <w:rPr>
                <w:b/>
                <w:bCs/>
              </w:rPr>
            </w:pPr>
            <w:r w:rsidRPr="00E854C5">
              <w:rPr>
                <w:b/>
                <w:bCs/>
              </w:rPr>
              <w:t>Use pattern</w:t>
            </w:r>
          </w:p>
        </w:tc>
      </w:tr>
      <w:tr w:rsidR="00E854C5" w:rsidRPr="00E854C5" w14:paraId="732FA28C" w14:textId="77777777" w:rsidTr="0087212A">
        <w:trPr>
          <w:trHeight w:val="552"/>
        </w:trPr>
        <w:tc>
          <w:tcPr>
            <w:tcW w:w="800" w:type="dxa"/>
            <w:shd w:val="clear" w:color="auto" w:fill="auto"/>
            <w:noWrap/>
            <w:vAlign w:val="center"/>
            <w:hideMark/>
          </w:tcPr>
          <w:p w14:paraId="4F8A94C9" w14:textId="77777777" w:rsidR="00E854C5" w:rsidRPr="00E854C5" w:rsidRDefault="00E854C5" w:rsidP="00E854C5">
            <w:pPr>
              <w:pStyle w:val="HistoryTable"/>
            </w:pPr>
            <w:r w:rsidRPr="00E854C5">
              <w:t>PT1</w:t>
            </w:r>
          </w:p>
        </w:tc>
        <w:tc>
          <w:tcPr>
            <w:tcW w:w="600" w:type="dxa"/>
            <w:shd w:val="clear" w:color="auto" w:fill="auto"/>
            <w:noWrap/>
            <w:vAlign w:val="center"/>
            <w:hideMark/>
          </w:tcPr>
          <w:p w14:paraId="127AB37F" w14:textId="77777777" w:rsidR="00E854C5" w:rsidRPr="00E854C5" w:rsidRDefault="00E854C5" w:rsidP="00E854C5">
            <w:pPr>
              <w:pStyle w:val="HistoryTable"/>
            </w:pPr>
            <w:r w:rsidRPr="00E854C5">
              <w:t>#1</w:t>
            </w:r>
          </w:p>
        </w:tc>
        <w:tc>
          <w:tcPr>
            <w:tcW w:w="1460" w:type="dxa"/>
            <w:shd w:val="clear" w:color="auto" w:fill="auto"/>
            <w:hideMark/>
          </w:tcPr>
          <w:p w14:paraId="0844C5C3" w14:textId="77777777" w:rsidR="00E854C5" w:rsidRPr="00E854C5" w:rsidRDefault="00E854C5" w:rsidP="00E854C5">
            <w:pPr>
              <w:pStyle w:val="HistoryTable"/>
              <w:rPr>
                <w:b/>
                <w:bCs/>
              </w:rPr>
            </w:pPr>
            <w:r w:rsidRPr="00E854C5">
              <w:rPr>
                <w:b/>
                <w:bCs/>
              </w:rPr>
              <w:t>(2)a, (3)ai, (3)aii, (3)e</w:t>
            </w:r>
          </w:p>
        </w:tc>
        <w:tc>
          <w:tcPr>
            <w:tcW w:w="5449" w:type="dxa"/>
            <w:shd w:val="clear" w:color="000000" w:fill="FFFFFF"/>
            <w:vAlign w:val="center"/>
            <w:hideMark/>
          </w:tcPr>
          <w:p w14:paraId="51638D46" w14:textId="77777777" w:rsidR="00E854C5" w:rsidRPr="00E854C5" w:rsidRDefault="00E854C5" w:rsidP="00E854C5">
            <w:pPr>
              <w:pStyle w:val="HistoryTable"/>
            </w:pPr>
            <w:r w:rsidRPr="00E854C5">
              <w:t>Human hygiene</w:t>
            </w:r>
          </w:p>
        </w:tc>
      </w:tr>
      <w:tr w:rsidR="00E854C5" w:rsidRPr="00E854C5" w14:paraId="0A535635" w14:textId="77777777" w:rsidTr="0087212A">
        <w:trPr>
          <w:trHeight w:val="552"/>
        </w:trPr>
        <w:tc>
          <w:tcPr>
            <w:tcW w:w="800" w:type="dxa"/>
            <w:shd w:val="clear" w:color="auto" w:fill="auto"/>
            <w:noWrap/>
            <w:vAlign w:val="center"/>
            <w:hideMark/>
          </w:tcPr>
          <w:p w14:paraId="057BD930"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7B47B185" w14:textId="77777777" w:rsidR="00E854C5" w:rsidRPr="00E854C5" w:rsidRDefault="00E854C5" w:rsidP="00E854C5">
            <w:pPr>
              <w:pStyle w:val="HistoryTable"/>
            </w:pPr>
            <w:r w:rsidRPr="00E854C5">
              <w:t>#2</w:t>
            </w:r>
          </w:p>
        </w:tc>
        <w:tc>
          <w:tcPr>
            <w:tcW w:w="1460" w:type="dxa"/>
            <w:shd w:val="clear" w:color="auto" w:fill="auto"/>
            <w:hideMark/>
          </w:tcPr>
          <w:p w14:paraId="0872262B" w14:textId="66FCF4AF" w:rsidR="00E854C5" w:rsidRPr="00E854C5" w:rsidRDefault="00E854C5" w:rsidP="00D03FC3">
            <w:pPr>
              <w:pStyle w:val="HistoryTable"/>
              <w:rPr>
                <w:b/>
                <w:bCs/>
              </w:rPr>
            </w:pPr>
            <w:r w:rsidRPr="00E854C5">
              <w:rPr>
                <w:b/>
                <w:bCs/>
              </w:rPr>
              <w:t>(1)b, (1)h, (2)b, (3)c</w:t>
            </w:r>
            <w:r w:rsidR="004C4ED1">
              <w:rPr>
                <w:b/>
                <w:bCs/>
              </w:rPr>
              <w:t>, (3)i</w:t>
            </w:r>
          </w:p>
        </w:tc>
        <w:tc>
          <w:tcPr>
            <w:tcW w:w="5449" w:type="dxa"/>
            <w:shd w:val="clear" w:color="000000" w:fill="FFFFFF"/>
            <w:vAlign w:val="center"/>
            <w:hideMark/>
          </w:tcPr>
          <w:p w14:paraId="1E2EF400" w14:textId="77777777" w:rsidR="00E854C5" w:rsidRPr="00E854C5" w:rsidRDefault="00E854C5" w:rsidP="00E854C5">
            <w:pPr>
              <w:pStyle w:val="HistoryTable"/>
            </w:pPr>
            <w:r w:rsidRPr="00E854C5">
              <w:t>Disinfectants for pipework / inner surfaces (CIP)/ Surface in contact with water</w:t>
            </w:r>
          </w:p>
        </w:tc>
      </w:tr>
      <w:tr w:rsidR="00E854C5" w:rsidRPr="00E854C5" w14:paraId="40E3178A" w14:textId="77777777" w:rsidTr="0087212A">
        <w:trPr>
          <w:trHeight w:val="552"/>
        </w:trPr>
        <w:tc>
          <w:tcPr>
            <w:tcW w:w="800" w:type="dxa"/>
            <w:shd w:val="clear" w:color="auto" w:fill="auto"/>
            <w:noWrap/>
            <w:vAlign w:val="center"/>
            <w:hideMark/>
          </w:tcPr>
          <w:p w14:paraId="3A1ED731"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4C324585" w14:textId="77777777" w:rsidR="00E854C5" w:rsidRPr="00E854C5" w:rsidRDefault="00E854C5" w:rsidP="00E854C5">
            <w:pPr>
              <w:pStyle w:val="HistoryTable"/>
            </w:pPr>
            <w:r w:rsidRPr="00E854C5">
              <w:t>#3</w:t>
            </w:r>
          </w:p>
        </w:tc>
        <w:tc>
          <w:tcPr>
            <w:tcW w:w="1460" w:type="dxa"/>
            <w:shd w:val="clear" w:color="auto" w:fill="auto"/>
            <w:hideMark/>
          </w:tcPr>
          <w:p w14:paraId="3FA1ED89" w14:textId="77777777" w:rsidR="00E854C5" w:rsidRPr="00E854C5" w:rsidRDefault="00E854C5" w:rsidP="00E854C5">
            <w:pPr>
              <w:pStyle w:val="HistoryTable"/>
              <w:rPr>
                <w:b/>
                <w:bCs/>
              </w:rPr>
            </w:pPr>
            <w:r w:rsidRPr="00E854C5">
              <w:rPr>
                <w:b/>
                <w:bCs/>
              </w:rPr>
              <w:t>(1)g, (1)h, (2)b, (2)g</w:t>
            </w:r>
          </w:p>
        </w:tc>
        <w:tc>
          <w:tcPr>
            <w:tcW w:w="5449" w:type="dxa"/>
            <w:shd w:val="clear" w:color="000000" w:fill="FFFFFF"/>
            <w:vAlign w:val="center"/>
            <w:hideMark/>
          </w:tcPr>
          <w:p w14:paraId="42228207" w14:textId="77777777" w:rsidR="00E854C5" w:rsidRPr="00E854C5" w:rsidRDefault="00E854C5" w:rsidP="00E854C5">
            <w:pPr>
              <w:pStyle w:val="HistoryTable"/>
            </w:pPr>
            <w:r w:rsidRPr="00E854C5">
              <w:t>Air condition systems disinfection</w:t>
            </w:r>
          </w:p>
        </w:tc>
      </w:tr>
      <w:tr w:rsidR="00E854C5" w:rsidRPr="00E854C5" w14:paraId="40E210C5" w14:textId="77777777" w:rsidTr="0087212A">
        <w:trPr>
          <w:trHeight w:val="552"/>
        </w:trPr>
        <w:tc>
          <w:tcPr>
            <w:tcW w:w="800" w:type="dxa"/>
            <w:shd w:val="clear" w:color="auto" w:fill="auto"/>
            <w:noWrap/>
            <w:vAlign w:val="center"/>
            <w:hideMark/>
          </w:tcPr>
          <w:p w14:paraId="630AF088"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35BA84B9" w14:textId="77777777" w:rsidR="00E854C5" w:rsidRPr="00E854C5" w:rsidRDefault="00E854C5" w:rsidP="00E854C5">
            <w:pPr>
              <w:pStyle w:val="HistoryTable"/>
            </w:pPr>
            <w:r w:rsidRPr="00E854C5">
              <w:t>#4</w:t>
            </w:r>
          </w:p>
        </w:tc>
        <w:tc>
          <w:tcPr>
            <w:tcW w:w="1460" w:type="dxa"/>
            <w:shd w:val="clear" w:color="auto" w:fill="auto"/>
            <w:hideMark/>
          </w:tcPr>
          <w:p w14:paraId="4F827596" w14:textId="77777777" w:rsidR="00E854C5" w:rsidRPr="00E854C5" w:rsidRDefault="00E854C5" w:rsidP="00E854C5">
            <w:pPr>
              <w:pStyle w:val="HistoryTable"/>
              <w:rPr>
                <w:b/>
                <w:bCs/>
              </w:rPr>
            </w:pPr>
            <w:r w:rsidRPr="00E854C5">
              <w:rPr>
                <w:b/>
                <w:bCs/>
              </w:rPr>
              <w:t>(1)b, (1)c, (2)c, (3)ai</w:t>
            </w:r>
          </w:p>
        </w:tc>
        <w:tc>
          <w:tcPr>
            <w:tcW w:w="5449" w:type="dxa"/>
            <w:shd w:val="clear" w:color="000000" w:fill="FFFFFF"/>
            <w:vAlign w:val="center"/>
            <w:hideMark/>
          </w:tcPr>
          <w:p w14:paraId="5AE5E72A" w14:textId="77777777" w:rsidR="00E854C5" w:rsidRPr="00E854C5" w:rsidRDefault="00E854C5" w:rsidP="00E854C5">
            <w:pPr>
              <w:pStyle w:val="HistoryTable"/>
            </w:pPr>
            <w:r w:rsidRPr="00E854C5">
              <w:t>Hard surfaces/ instrument/ Equipment disinfection.</w:t>
            </w:r>
          </w:p>
        </w:tc>
      </w:tr>
      <w:tr w:rsidR="00E854C5" w:rsidRPr="00E854C5" w14:paraId="480D924F" w14:textId="77777777" w:rsidTr="0087212A">
        <w:trPr>
          <w:trHeight w:val="552"/>
        </w:trPr>
        <w:tc>
          <w:tcPr>
            <w:tcW w:w="800" w:type="dxa"/>
            <w:shd w:val="clear" w:color="auto" w:fill="auto"/>
            <w:noWrap/>
            <w:vAlign w:val="center"/>
            <w:hideMark/>
          </w:tcPr>
          <w:p w14:paraId="3BAA3F97"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0D565E86" w14:textId="77777777" w:rsidR="00E854C5" w:rsidRPr="00E854C5" w:rsidRDefault="00E854C5" w:rsidP="00E854C5">
            <w:pPr>
              <w:pStyle w:val="HistoryTable"/>
            </w:pPr>
            <w:r w:rsidRPr="00E854C5">
              <w:t>#5</w:t>
            </w:r>
          </w:p>
        </w:tc>
        <w:tc>
          <w:tcPr>
            <w:tcW w:w="1460" w:type="dxa"/>
            <w:shd w:val="clear" w:color="auto" w:fill="auto"/>
            <w:hideMark/>
          </w:tcPr>
          <w:p w14:paraId="4574E5EA" w14:textId="77777777" w:rsidR="00E854C5" w:rsidRPr="00E854C5" w:rsidRDefault="00E854C5" w:rsidP="00E854C5">
            <w:pPr>
              <w:pStyle w:val="HistoryTable"/>
              <w:rPr>
                <w:b/>
                <w:bCs/>
              </w:rPr>
            </w:pPr>
            <w:r w:rsidRPr="00E854C5">
              <w:rPr>
                <w:b/>
                <w:bCs/>
              </w:rPr>
              <w:t>(1)b, (1)d, (2)c, (3)aii</w:t>
            </w:r>
          </w:p>
        </w:tc>
        <w:tc>
          <w:tcPr>
            <w:tcW w:w="5449" w:type="dxa"/>
            <w:shd w:val="clear" w:color="000000" w:fill="FFFFFF"/>
            <w:vAlign w:val="center"/>
            <w:hideMark/>
          </w:tcPr>
          <w:p w14:paraId="30A5146E" w14:textId="77777777" w:rsidR="00E854C5" w:rsidRPr="00E854C5" w:rsidRDefault="00E854C5" w:rsidP="00E854C5">
            <w:pPr>
              <w:pStyle w:val="HistoryTable"/>
            </w:pPr>
            <w:r w:rsidRPr="00E854C5">
              <w:t>Soft furnishing/textile disinfection</w:t>
            </w:r>
          </w:p>
        </w:tc>
      </w:tr>
      <w:tr w:rsidR="00E854C5" w:rsidRPr="00E854C5" w14:paraId="5D49C138" w14:textId="77777777" w:rsidTr="0087212A">
        <w:trPr>
          <w:trHeight w:val="276"/>
        </w:trPr>
        <w:tc>
          <w:tcPr>
            <w:tcW w:w="800" w:type="dxa"/>
            <w:shd w:val="clear" w:color="auto" w:fill="auto"/>
            <w:noWrap/>
            <w:vAlign w:val="center"/>
            <w:hideMark/>
          </w:tcPr>
          <w:p w14:paraId="4BB2AC14"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20804AC4" w14:textId="77777777" w:rsidR="00E854C5" w:rsidRPr="00E854C5" w:rsidRDefault="00E854C5" w:rsidP="00E854C5">
            <w:pPr>
              <w:pStyle w:val="HistoryTable"/>
            </w:pPr>
            <w:r w:rsidRPr="00E854C5">
              <w:t>#6</w:t>
            </w:r>
          </w:p>
        </w:tc>
        <w:tc>
          <w:tcPr>
            <w:tcW w:w="1460" w:type="dxa"/>
            <w:shd w:val="clear" w:color="auto" w:fill="auto"/>
            <w:hideMark/>
          </w:tcPr>
          <w:p w14:paraId="74C11053" w14:textId="77777777" w:rsidR="00E854C5" w:rsidRPr="00E854C5" w:rsidRDefault="00E854C5" w:rsidP="00E854C5">
            <w:pPr>
              <w:pStyle w:val="HistoryTable"/>
              <w:rPr>
                <w:b/>
                <w:bCs/>
              </w:rPr>
            </w:pPr>
            <w:r w:rsidRPr="00E854C5">
              <w:rPr>
                <w:b/>
                <w:bCs/>
              </w:rPr>
              <w:t>(1)d, (2)d</w:t>
            </w:r>
          </w:p>
        </w:tc>
        <w:tc>
          <w:tcPr>
            <w:tcW w:w="5449" w:type="dxa"/>
            <w:shd w:val="clear" w:color="000000" w:fill="FFFFFF"/>
            <w:vAlign w:val="center"/>
            <w:hideMark/>
          </w:tcPr>
          <w:p w14:paraId="2D9C392A" w14:textId="77777777" w:rsidR="00E854C5" w:rsidRPr="00E854C5" w:rsidRDefault="00E854C5" w:rsidP="00E854C5">
            <w:pPr>
              <w:pStyle w:val="HistoryTable"/>
            </w:pPr>
            <w:r w:rsidRPr="00E854C5">
              <w:t>Laundry disinfection</w:t>
            </w:r>
          </w:p>
        </w:tc>
      </w:tr>
      <w:tr w:rsidR="00E854C5" w:rsidRPr="00E854C5" w14:paraId="168ADF1B" w14:textId="77777777" w:rsidTr="0087212A">
        <w:trPr>
          <w:trHeight w:val="276"/>
        </w:trPr>
        <w:tc>
          <w:tcPr>
            <w:tcW w:w="800" w:type="dxa"/>
            <w:shd w:val="clear" w:color="auto" w:fill="auto"/>
            <w:noWrap/>
            <w:vAlign w:val="center"/>
            <w:hideMark/>
          </w:tcPr>
          <w:p w14:paraId="71866DB0"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4D2AEBCD" w14:textId="77777777" w:rsidR="00E854C5" w:rsidRPr="00E854C5" w:rsidRDefault="00E854C5" w:rsidP="00E854C5">
            <w:pPr>
              <w:pStyle w:val="HistoryTable"/>
            </w:pPr>
            <w:r w:rsidRPr="00E854C5">
              <w:t>#7</w:t>
            </w:r>
          </w:p>
        </w:tc>
        <w:tc>
          <w:tcPr>
            <w:tcW w:w="1460" w:type="dxa"/>
            <w:shd w:val="clear" w:color="auto" w:fill="auto"/>
            <w:hideMark/>
          </w:tcPr>
          <w:p w14:paraId="02A502D9" w14:textId="77777777" w:rsidR="00E854C5" w:rsidRPr="00E854C5" w:rsidRDefault="00E854C5" w:rsidP="00E854C5">
            <w:pPr>
              <w:pStyle w:val="HistoryTable"/>
              <w:rPr>
                <w:b/>
                <w:bCs/>
              </w:rPr>
            </w:pPr>
            <w:r w:rsidRPr="00E854C5">
              <w:rPr>
                <w:b/>
                <w:bCs/>
              </w:rPr>
              <w:t>(1)e, (2)e</w:t>
            </w:r>
          </w:p>
        </w:tc>
        <w:tc>
          <w:tcPr>
            <w:tcW w:w="5449" w:type="dxa"/>
            <w:shd w:val="clear" w:color="000000" w:fill="FFFFFF"/>
            <w:vAlign w:val="center"/>
            <w:hideMark/>
          </w:tcPr>
          <w:p w14:paraId="0F6AFD7A" w14:textId="77777777" w:rsidR="00E854C5" w:rsidRPr="00E854C5" w:rsidRDefault="00E854C5" w:rsidP="00E854C5">
            <w:pPr>
              <w:pStyle w:val="HistoryTable"/>
            </w:pPr>
            <w:r w:rsidRPr="00E854C5">
              <w:t>Air disinfection</w:t>
            </w:r>
          </w:p>
        </w:tc>
      </w:tr>
      <w:tr w:rsidR="00E854C5" w:rsidRPr="00E854C5" w14:paraId="7F25FF41" w14:textId="77777777" w:rsidTr="0087212A">
        <w:trPr>
          <w:trHeight w:val="828"/>
        </w:trPr>
        <w:tc>
          <w:tcPr>
            <w:tcW w:w="800" w:type="dxa"/>
            <w:shd w:val="clear" w:color="auto" w:fill="auto"/>
            <w:noWrap/>
            <w:vAlign w:val="center"/>
            <w:hideMark/>
          </w:tcPr>
          <w:p w14:paraId="689DD89C"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0A8BD5A8" w14:textId="77777777" w:rsidR="00E854C5" w:rsidRPr="00E854C5" w:rsidRDefault="00E854C5" w:rsidP="00E854C5">
            <w:pPr>
              <w:pStyle w:val="HistoryTable"/>
            </w:pPr>
            <w:r w:rsidRPr="00E854C5">
              <w:t>#8</w:t>
            </w:r>
          </w:p>
        </w:tc>
        <w:tc>
          <w:tcPr>
            <w:tcW w:w="1460" w:type="dxa"/>
            <w:shd w:val="clear" w:color="auto" w:fill="auto"/>
            <w:hideMark/>
          </w:tcPr>
          <w:p w14:paraId="3190409C" w14:textId="77777777" w:rsidR="00E854C5" w:rsidRPr="00E854C5" w:rsidRDefault="00E854C5" w:rsidP="00E854C5">
            <w:pPr>
              <w:pStyle w:val="HistoryTable"/>
              <w:rPr>
                <w:b/>
                <w:bCs/>
              </w:rPr>
            </w:pPr>
            <w:r w:rsidRPr="00E854C5">
              <w:rPr>
                <w:b/>
                <w:bCs/>
              </w:rPr>
              <w:t>(1)g, (1)h, (2)g</w:t>
            </w:r>
          </w:p>
        </w:tc>
        <w:tc>
          <w:tcPr>
            <w:tcW w:w="5449" w:type="dxa"/>
            <w:shd w:val="clear" w:color="000000" w:fill="FFFFFF"/>
            <w:vAlign w:val="center"/>
            <w:hideMark/>
          </w:tcPr>
          <w:p w14:paraId="060B6B74" w14:textId="77777777" w:rsidR="00E854C5" w:rsidRPr="00E854C5" w:rsidRDefault="00E854C5" w:rsidP="00E854C5">
            <w:pPr>
              <w:pStyle w:val="HistoryTable"/>
            </w:pPr>
            <w:r w:rsidRPr="00E854C5">
              <w:t>Disinfectants and algaecides for treatment of waters other than waste water (e.g. aquarium water, swimming pool water, bathing water)</w:t>
            </w:r>
          </w:p>
        </w:tc>
      </w:tr>
      <w:tr w:rsidR="00E854C5" w:rsidRPr="00E854C5" w14:paraId="6B89D9C0" w14:textId="77777777" w:rsidTr="0087212A">
        <w:trPr>
          <w:trHeight w:val="276"/>
        </w:trPr>
        <w:tc>
          <w:tcPr>
            <w:tcW w:w="800" w:type="dxa"/>
            <w:shd w:val="clear" w:color="auto" w:fill="auto"/>
            <w:noWrap/>
            <w:vAlign w:val="center"/>
            <w:hideMark/>
          </w:tcPr>
          <w:p w14:paraId="6FBE50B4"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732AFF66" w14:textId="77777777" w:rsidR="00E854C5" w:rsidRPr="00E854C5" w:rsidRDefault="00E854C5" w:rsidP="00E854C5">
            <w:pPr>
              <w:pStyle w:val="HistoryTable"/>
            </w:pPr>
            <w:r w:rsidRPr="00E854C5">
              <w:t>#9</w:t>
            </w:r>
          </w:p>
        </w:tc>
        <w:tc>
          <w:tcPr>
            <w:tcW w:w="1460" w:type="dxa"/>
            <w:shd w:val="clear" w:color="auto" w:fill="auto"/>
            <w:hideMark/>
          </w:tcPr>
          <w:p w14:paraId="5394EF8E" w14:textId="77777777" w:rsidR="00E854C5" w:rsidRPr="00E854C5" w:rsidRDefault="00E854C5" w:rsidP="00E854C5">
            <w:pPr>
              <w:pStyle w:val="HistoryTable"/>
              <w:rPr>
                <w:b/>
                <w:bCs/>
              </w:rPr>
            </w:pPr>
            <w:r w:rsidRPr="00E854C5">
              <w:rPr>
                <w:b/>
                <w:bCs/>
              </w:rPr>
              <w:t>1(i)</w:t>
            </w:r>
          </w:p>
        </w:tc>
        <w:tc>
          <w:tcPr>
            <w:tcW w:w="5449" w:type="dxa"/>
            <w:shd w:val="clear" w:color="000000" w:fill="FFFFFF"/>
            <w:vAlign w:val="center"/>
            <w:hideMark/>
          </w:tcPr>
          <w:p w14:paraId="13B6EC09" w14:textId="77777777" w:rsidR="00E854C5" w:rsidRPr="00E854C5" w:rsidRDefault="00E854C5" w:rsidP="00E854C5">
            <w:pPr>
              <w:pStyle w:val="HistoryTable"/>
            </w:pPr>
            <w:r w:rsidRPr="00E854C5">
              <w:t>Disinfection of chemical toilets</w:t>
            </w:r>
          </w:p>
        </w:tc>
      </w:tr>
      <w:tr w:rsidR="00E854C5" w:rsidRPr="00E854C5" w14:paraId="4222B5DE" w14:textId="77777777" w:rsidTr="0087212A">
        <w:trPr>
          <w:trHeight w:val="276"/>
        </w:trPr>
        <w:tc>
          <w:tcPr>
            <w:tcW w:w="800" w:type="dxa"/>
            <w:shd w:val="clear" w:color="auto" w:fill="auto"/>
            <w:noWrap/>
            <w:vAlign w:val="center"/>
            <w:hideMark/>
          </w:tcPr>
          <w:p w14:paraId="22739BB4"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48291318" w14:textId="77777777" w:rsidR="00E854C5" w:rsidRPr="00E854C5" w:rsidRDefault="00E854C5" w:rsidP="00E854C5">
            <w:pPr>
              <w:pStyle w:val="HistoryTable"/>
            </w:pPr>
            <w:r w:rsidRPr="00E854C5">
              <w:t>#10</w:t>
            </w:r>
          </w:p>
        </w:tc>
        <w:tc>
          <w:tcPr>
            <w:tcW w:w="1460" w:type="dxa"/>
            <w:shd w:val="clear" w:color="auto" w:fill="auto"/>
            <w:hideMark/>
          </w:tcPr>
          <w:p w14:paraId="6ACE5D3A" w14:textId="77777777" w:rsidR="00E854C5" w:rsidRPr="00E854C5" w:rsidRDefault="00E854C5" w:rsidP="00E854C5">
            <w:pPr>
              <w:pStyle w:val="HistoryTable"/>
              <w:rPr>
                <w:b/>
                <w:bCs/>
              </w:rPr>
            </w:pPr>
            <w:r w:rsidRPr="00E854C5">
              <w:rPr>
                <w:b/>
                <w:bCs/>
              </w:rPr>
              <w:t>(1)g, (2)h</w:t>
            </w:r>
          </w:p>
        </w:tc>
        <w:tc>
          <w:tcPr>
            <w:tcW w:w="5449" w:type="dxa"/>
            <w:shd w:val="clear" w:color="000000" w:fill="FFFFFF"/>
            <w:vAlign w:val="center"/>
            <w:hideMark/>
          </w:tcPr>
          <w:p w14:paraId="09DB6E4A" w14:textId="77777777" w:rsidR="00E854C5" w:rsidRPr="00E854C5" w:rsidRDefault="00E854C5" w:rsidP="00E854C5">
            <w:pPr>
              <w:pStyle w:val="HistoryTable"/>
            </w:pPr>
            <w:r w:rsidRPr="00E854C5">
              <w:t>Waste water disinfection</w:t>
            </w:r>
          </w:p>
        </w:tc>
      </w:tr>
      <w:tr w:rsidR="00E854C5" w:rsidRPr="00E854C5" w14:paraId="1F670347" w14:textId="77777777" w:rsidTr="0087212A">
        <w:trPr>
          <w:trHeight w:val="276"/>
        </w:trPr>
        <w:tc>
          <w:tcPr>
            <w:tcW w:w="800" w:type="dxa"/>
            <w:shd w:val="clear" w:color="auto" w:fill="auto"/>
            <w:noWrap/>
            <w:vAlign w:val="center"/>
            <w:hideMark/>
          </w:tcPr>
          <w:p w14:paraId="48A7ED33"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6D43986A" w14:textId="77777777" w:rsidR="00E854C5" w:rsidRPr="00E854C5" w:rsidRDefault="00E854C5" w:rsidP="00E854C5">
            <w:pPr>
              <w:pStyle w:val="HistoryTable"/>
            </w:pPr>
            <w:r w:rsidRPr="00E854C5">
              <w:t>#11</w:t>
            </w:r>
          </w:p>
        </w:tc>
        <w:tc>
          <w:tcPr>
            <w:tcW w:w="1460" w:type="dxa"/>
            <w:shd w:val="clear" w:color="auto" w:fill="auto"/>
            <w:hideMark/>
          </w:tcPr>
          <w:p w14:paraId="553B0102" w14:textId="77777777" w:rsidR="00E854C5" w:rsidRPr="00E854C5" w:rsidRDefault="00E854C5" w:rsidP="00E854C5">
            <w:pPr>
              <w:pStyle w:val="HistoryTable"/>
              <w:rPr>
                <w:b/>
                <w:bCs/>
              </w:rPr>
            </w:pPr>
            <w:r w:rsidRPr="00E854C5">
              <w:rPr>
                <w:b/>
                <w:bCs/>
              </w:rPr>
              <w:t>(1)j</w:t>
            </w:r>
          </w:p>
        </w:tc>
        <w:tc>
          <w:tcPr>
            <w:tcW w:w="5449" w:type="dxa"/>
            <w:shd w:val="clear" w:color="000000" w:fill="FFFFFF"/>
            <w:vAlign w:val="center"/>
            <w:hideMark/>
          </w:tcPr>
          <w:p w14:paraId="53A29626" w14:textId="77777777" w:rsidR="00E854C5" w:rsidRPr="00E854C5" w:rsidRDefault="00E854C5" w:rsidP="00E854C5">
            <w:pPr>
              <w:pStyle w:val="HistoryTable"/>
            </w:pPr>
            <w:r w:rsidRPr="00E854C5">
              <w:t>Hospital waste disinfection</w:t>
            </w:r>
          </w:p>
        </w:tc>
      </w:tr>
      <w:tr w:rsidR="00E854C5" w:rsidRPr="00E854C5" w14:paraId="0406D7B7" w14:textId="77777777" w:rsidTr="0087212A">
        <w:trPr>
          <w:trHeight w:val="276"/>
        </w:trPr>
        <w:tc>
          <w:tcPr>
            <w:tcW w:w="800" w:type="dxa"/>
            <w:shd w:val="clear" w:color="auto" w:fill="auto"/>
            <w:noWrap/>
            <w:vAlign w:val="center"/>
            <w:hideMark/>
          </w:tcPr>
          <w:p w14:paraId="4DF57B9B"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5D93C7B7" w14:textId="77777777" w:rsidR="00E854C5" w:rsidRPr="00E854C5" w:rsidRDefault="00E854C5" w:rsidP="00E854C5">
            <w:pPr>
              <w:pStyle w:val="HistoryTable"/>
            </w:pPr>
            <w:r w:rsidRPr="00E854C5">
              <w:t>#12</w:t>
            </w:r>
          </w:p>
        </w:tc>
        <w:tc>
          <w:tcPr>
            <w:tcW w:w="1460" w:type="dxa"/>
            <w:shd w:val="clear" w:color="auto" w:fill="auto"/>
            <w:hideMark/>
          </w:tcPr>
          <w:p w14:paraId="0961B297" w14:textId="77777777" w:rsidR="00E854C5" w:rsidRPr="00E854C5" w:rsidRDefault="00E854C5" w:rsidP="00E854C5">
            <w:pPr>
              <w:pStyle w:val="HistoryTable"/>
              <w:rPr>
                <w:b/>
                <w:bCs/>
              </w:rPr>
            </w:pPr>
            <w:r w:rsidRPr="00E854C5">
              <w:rPr>
                <w:b/>
                <w:bCs/>
              </w:rPr>
              <w:t>(1)k</w:t>
            </w:r>
          </w:p>
        </w:tc>
        <w:tc>
          <w:tcPr>
            <w:tcW w:w="5449" w:type="dxa"/>
            <w:shd w:val="clear" w:color="000000" w:fill="FFFFFF"/>
            <w:vAlign w:val="center"/>
            <w:hideMark/>
          </w:tcPr>
          <w:p w14:paraId="040D0F0B" w14:textId="77777777" w:rsidR="00E854C5" w:rsidRPr="00E854C5" w:rsidRDefault="00E854C5" w:rsidP="00E854C5">
            <w:pPr>
              <w:pStyle w:val="HistoryTable"/>
            </w:pPr>
            <w:r w:rsidRPr="00E854C5">
              <w:t>Soil disinfection</w:t>
            </w:r>
          </w:p>
        </w:tc>
      </w:tr>
      <w:tr w:rsidR="00E854C5" w:rsidRPr="00E854C5" w14:paraId="34F950FE" w14:textId="77777777" w:rsidTr="0087212A">
        <w:trPr>
          <w:trHeight w:val="552"/>
        </w:trPr>
        <w:tc>
          <w:tcPr>
            <w:tcW w:w="800" w:type="dxa"/>
            <w:shd w:val="clear" w:color="auto" w:fill="auto"/>
            <w:noWrap/>
            <w:vAlign w:val="center"/>
            <w:hideMark/>
          </w:tcPr>
          <w:p w14:paraId="158E3C3C" w14:textId="77777777" w:rsidR="00E854C5" w:rsidRPr="00E854C5" w:rsidRDefault="00E854C5" w:rsidP="00E854C5">
            <w:pPr>
              <w:pStyle w:val="HistoryTable"/>
            </w:pPr>
            <w:r w:rsidRPr="00E854C5">
              <w:lastRenderedPageBreak/>
              <w:t>PT2</w:t>
            </w:r>
          </w:p>
        </w:tc>
        <w:tc>
          <w:tcPr>
            <w:tcW w:w="600" w:type="dxa"/>
            <w:shd w:val="clear" w:color="auto" w:fill="auto"/>
            <w:noWrap/>
            <w:vAlign w:val="center"/>
            <w:hideMark/>
          </w:tcPr>
          <w:p w14:paraId="0CA9787B" w14:textId="77777777" w:rsidR="00E854C5" w:rsidRPr="00E854C5" w:rsidRDefault="00E854C5" w:rsidP="00E854C5">
            <w:pPr>
              <w:pStyle w:val="HistoryTable"/>
            </w:pPr>
            <w:r w:rsidRPr="00E854C5">
              <w:t>#13</w:t>
            </w:r>
          </w:p>
        </w:tc>
        <w:tc>
          <w:tcPr>
            <w:tcW w:w="1460" w:type="dxa"/>
            <w:shd w:val="clear" w:color="auto" w:fill="auto"/>
            <w:hideMark/>
          </w:tcPr>
          <w:p w14:paraId="5C7FC061" w14:textId="77777777" w:rsidR="00E854C5" w:rsidRPr="00E854C5" w:rsidRDefault="00E854C5" w:rsidP="00E854C5">
            <w:pPr>
              <w:pStyle w:val="HistoryTable"/>
              <w:rPr>
                <w:b/>
                <w:bCs/>
              </w:rPr>
            </w:pPr>
            <w:r w:rsidRPr="00E854C5">
              <w:rPr>
                <w:b/>
                <w:bCs/>
              </w:rPr>
              <w:t>(1)c, (1)f, (2)f</w:t>
            </w:r>
          </w:p>
        </w:tc>
        <w:tc>
          <w:tcPr>
            <w:tcW w:w="5449" w:type="dxa"/>
            <w:shd w:val="clear" w:color="000000" w:fill="FFFFFF"/>
            <w:vAlign w:val="center"/>
            <w:hideMark/>
          </w:tcPr>
          <w:p w14:paraId="2C041DD5" w14:textId="77777777" w:rsidR="00E854C5" w:rsidRPr="00E854C5" w:rsidRDefault="00E854C5" w:rsidP="00E854C5">
            <w:pPr>
              <w:pStyle w:val="HistoryTable"/>
            </w:pPr>
            <w:r w:rsidRPr="00E854C5">
              <w:t xml:space="preserve">Algaecides for remedial treatment of constructions materials and antimicrobial /hygienic paints </w:t>
            </w:r>
          </w:p>
        </w:tc>
      </w:tr>
      <w:tr w:rsidR="00E854C5" w:rsidRPr="00E854C5" w14:paraId="56722A63" w14:textId="77777777" w:rsidTr="0087212A">
        <w:trPr>
          <w:trHeight w:val="828"/>
        </w:trPr>
        <w:tc>
          <w:tcPr>
            <w:tcW w:w="800" w:type="dxa"/>
            <w:shd w:val="clear" w:color="auto" w:fill="auto"/>
            <w:noWrap/>
            <w:vAlign w:val="center"/>
            <w:hideMark/>
          </w:tcPr>
          <w:p w14:paraId="5BA4E73B"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60479CCC" w14:textId="77777777" w:rsidR="00E854C5" w:rsidRPr="00E854C5" w:rsidRDefault="00E854C5" w:rsidP="00E854C5">
            <w:pPr>
              <w:pStyle w:val="HistoryTable"/>
            </w:pPr>
            <w:r w:rsidRPr="00E854C5">
              <w:t>#14</w:t>
            </w:r>
          </w:p>
        </w:tc>
        <w:tc>
          <w:tcPr>
            <w:tcW w:w="1460" w:type="dxa"/>
            <w:shd w:val="clear" w:color="auto" w:fill="auto"/>
            <w:hideMark/>
          </w:tcPr>
          <w:p w14:paraId="36571A32" w14:textId="1A34CB1D" w:rsidR="00E854C5" w:rsidRPr="00E854C5" w:rsidRDefault="00E854C5" w:rsidP="00E854C5">
            <w:pPr>
              <w:pStyle w:val="HistoryTable"/>
              <w:rPr>
                <w:b/>
                <w:bCs/>
              </w:rPr>
            </w:pPr>
            <w:r w:rsidRPr="00E854C5">
              <w:rPr>
                <w:b/>
                <w:bCs/>
              </w:rPr>
              <w:t>1(f), (2)f</w:t>
            </w:r>
            <w:r w:rsidR="004C4ED1">
              <w:rPr>
                <w:b/>
                <w:bCs/>
              </w:rPr>
              <w:t>, (3)aii</w:t>
            </w:r>
            <w:bookmarkStart w:id="6" w:name="_GoBack"/>
            <w:bookmarkEnd w:id="6"/>
          </w:p>
        </w:tc>
        <w:tc>
          <w:tcPr>
            <w:tcW w:w="5449" w:type="dxa"/>
            <w:shd w:val="clear" w:color="000000" w:fill="FFFFFF"/>
            <w:vAlign w:val="center"/>
            <w:hideMark/>
          </w:tcPr>
          <w:p w14:paraId="4694D312" w14:textId="77777777" w:rsidR="00E854C5" w:rsidRPr="00E854C5" w:rsidRDefault="00E854C5" w:rsidP="00E854C5">
            <w:pPr>
              <w:pStyle w:val="HistoryTable"/>
            </w:pPr>
            <w:r w:rsidRPr="00E854C5">
              <w:t>Products used to be incorporated in textiles, tissues and  materials with the purpose of producing treated articles with disinfecting properties</w:t>
            </w:r>
          </w:p>
        </w:tc>
      </w:tr>
      <w:tr w:rsidR="00E854C5" w:rsidRPr="00E854C5" w14:paraId="4E15CEEC" w14:textId="77777777" w:rsidTr="0087212A">
        <w:trPr>
          <w:trHeight w:val="828"/>
        </w:trPr>
        <w:tc>
          <w:tcPr>
            <w:tcW w:w="800" w:type="dxa"/>
            <w:shd w:val="clear" w:color="auto" w:fill="auto"/>
            <w:noWrap/>
            <w:vAlign w:val="center"/>
            <w:hideMark/>
          </w:tcPr>
          <w:p w14:paraId="74D0F16D"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0ECADE28" w14:textId="77777777" w:rsidR="00E854C5" w:rsidRPr="00E854C5" w:rsidRDefault="00E854C5" w:rsidP="00E854C5">
            <w:pPr>
              <w:pStyle w:val="HistoryTable"/>
            </w:pPr>
            <w:r w:rsidRPr="00E854C5">
              <w:t>#15</w:t>
            </w:r>
          </w:p>
        </w:tc>
        <w:tc>
          <w:tcPr>
            <w:tcW w:w="1460" w:type="dxa"/>
            <w:shd w:val="clear" w:color="auto" w:fill="auto"/>
            <w:hideMark/>
          </w:tcPr>
          <w:p w14:paraId="17B96C3E" w14:textId="77777777" w:rsidR="00E854C5" w:rsidRPr="00E854C5" w:rsidRDefault="00E854C5" w:rsidP="00E854C5">
            <w:pPr>
              <w:pStyle w:val="HistoryTable"/>
              <w:rPr>
                <w:b/>
                <w:bCs/>
              </w:rPr>
            </w:pPr>
            <w:r w:rsidRPr="00E854C5">
              <w:rPr>
                <w:b/>
                <w:bCs/>
              </w:rPr>
              <w:t>(1)f, (2)f</w:t>
            </w:r>
          </w:p>
        </w:tc>
        <w:tc>
          <w:tcPr>
            <w:tcW w:w="5449" w:type="dxa"/>
            <w:shd w:val="clear" w:color="000000" w:fill="FFFFFF"/>
            <w:vAlign w:val="center"/>
            <w:hideMark/>
          </w:tcPr>
          <w:p w14:paraId="3F7A337B" w14:textId="77777777" w:rsidR="00E854C5" w:rsidRPr="00E854C5" w:rsidRDefault="00E854C5" w:rsidP="00E854C5">
            <w:pPr>
              <w:pStyle w:val="HistoryTable"/>
            </w:pPr>
            <w:r w:rsidRPr="00E854C5">
              <w:t>Products used to be incorporated in paints with the purpose of producing treated articles with disinfecting properties</w:t>
            </w:r>
          </w:p>
        </w:tc>
      </w:tr>
      <w:tr w:rsidR="00E854C5" w:rsidRPr="00E854C5" w14:paraId="7BD564CE" w14:textId="77777777" w:rsidTr="0087212A">
        <w:trPr>
          <w:trHeight w:val="276"/>
        </w:trPr>
        <w:tc>
          <w:tcPr>
            <w:tcW w:w="800" w:type="dxa"/>
            <w:shd w:val="clear" w:color="auto" w:fill="auto"/>
            <w:noWrap/>
            <w:vAlign w:val="center"/>
            <w:hideMark/>
          </w:tcPr>
          <w:p w14:paraId="35B01A63"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3FF11BF6" w14:textId="77777777" w:rsidR="00E854C5" w:rsidRPr="00E854C5" w:rsidRDefault="00E854C5" w:rsidP="00E854C5">
            <w:pPr>
              <w:pStyle w:val="HistoryTable"/>
            </w:pPr>
            <w:r w:rsidRPr="00E854C5">
              <w:t>#17</w:t>
            </w:r>
          </w:p>
        </w:tc>
        <w:tc>
          <w:tcPr>
            <w:tcW w:w="1460" w:type="dxa"/>
            <w:shd w:val="clear" w:color="auto" w:fill="auto"/>
            <w:hideMark/>
          </w:tcPr>
          <w:p w14:paraId="1FCA7799" w14:textId="77777777" w:rsidR="00E854C5" w:rsidRPr="00E854C5" w:rsidRDefault="00E854C5" w:rsidP="00E854C5">
            <w:pPr>
              <w:pStyle w:val="HistoryTable"/>
              <w:rPr>
                <w:b/>
                <w:bCs/>
              </w:rPr>
            </w:pPr>
            <w:r w:rsidRPr="00E854C5">
              <w:rPr>
                <w:b/>
                <w:bCs/>
              </w:rPr>
              <w:t>(1)e, (2)e</w:t>
            </w:r>
          </w:p>
        </w:tc>
        <w:tc>
          <w:tcPr>
            <w:tcW w:w="5449" w:type="dxa"/>
            <w:shd w:val="clear" w:color="000000" w:fill="FFFFFF"/>
            <w:vAlign w:val="center"/>
            <w:hideMark/>
          </w:tcPr>
          <w:p w14:paraId="355AEA25" w14:textId="77777777" w:rsidR="00E854C5" w:rsidRPr="00E854C5" w:rsidRDefault="00E854C5" w:rsidP="00E854C5">
            <w:pPr>
              <w:pStyle w:val="HistoryTable"/>
            </w:pPr>
            <w:r w:rsidRPr="00E854C5">
              <w:t>Room disinfection (vaporised biocide)</w:t>
            </w:r>
          </w:p>
        </w:tc>
      </w:tr>
      <w:tr w:rsidR="00E854C5" w:rsidRPr="00E854C5" w14:paraId="62D322F3" w14:textId="77777777" w:rsidTr="0087212A">
        <w:trPr>
          <w:trHeight w:val="276"/>
        </w:trPr>
        <w:tc>
          <w:tcPr>
            <w:tcW w:w="800" w:type="dxa"/>
            <w:shd w:val="clear" w:color="auto" w:fill="auto"/>
            <w:noWrap/>
            <w:vAlign w:val="center"/>
            <w:hideMark/>
          </w:tcPr>
          <w:p w14:paraId="44892B19" w14:textId="77777777" w:rsidR="00E854C5" w:rsidRPr="00E854C5" w:rsidRDefault="00E854C5" w:rsidP="00E854C5">
            <w:pPr>
              <w:pStyle w:val="HistoryTable"/>
            </w:pPr>
            <w:r w:rsidRPr="00E854C5">
              <w:t>PT2</w:t>
            </w:r>
          </w:p>
        </w:tc>
        <w:tc>
          <w:tcPr>
            <w:tcW w:w="600" w:type="dxa"/>
            <w:shd w:val="clear" w:color="auto" w:fill="auto"/>
            <w:noWrap/>
            <w:vAlign w:val="center"/>
            <w:hideMark/>
          </w:tcPr>
          <w:p w14:paraId="5D472616" w14:textId="77777777" w:rsidR="00E854C5" w:rsidRPr="00E854C5" w:rsidRDefault="00E854C5" w:rsidP="00E854C5">
            <w:pPr>
              <w:pStyle w:val="HistoryTable"/>
            </w:pPr>
            <w:r w:rsidRPr="00E854C5">
              <w:t>#16</w:t>
            </w:r>
          </w:p>
        </w:tc>
        <w:tc>
          <w:tcPr>
            <w:tcW w:w="1460" w:type="dxa"/>
            <w:shd w:val="clear" w:color="auto" w:fill="auto"/>
            <w:hideMark/>
          </w:tcPr>
          <w:p w14:paraId="0D8D0930" w14:textId="77777777" w:rsidR="00E854C5" w:rsidRPr="00E854C5" w:rsidRDefault="00E854C5" w:rsidP="00E854C5">
            <w:pPr>
              <w:pStyle w:val="HistoryTable"/>
              <w:rPr>
                <w:b/>
                <w:bCs/>
              </w:rPr>
            </w:pPr>
            <w:r w:rsidRPr="00E854C5">
              <w:rPr>
                <w:b/>
                <w:bCs/>
              </w:rPr>
              <w:t>(1), (2)</w:t>
            </w:r>
          </w:p>
        </w:tc>
        <w:tc>
          <w:tcPr>
            <w:tcW w:w="5449" w:type="dxa"/>
            <w:shd w:val="clear" w:color="000000" w:fill="FFFFFF"/>
            <w:vAlign w:val="center"/>
            <w:hideMark/>
          </w:tcPr>
          <w:p w14:paraId="76A63F31" w14:textId="77777777" w:rsidR="00E854C5" w:rsidRPr="00E854C5" w:rsidRDefault="00E854C5" w:rsidP="00E854C5">
            <w:pPr>
              <w:pStyle w:val="HistoryTable"/>
            </w:pPr>
            <w:r w:rsidRPr="00E854C5">
              <w:t>Other PT2</w:t>
            </w:r>
          </w:p>
        </w:tc>
      </w:tr>
      <w:tr w:rsidR="00E854C5" w:rsidRPr="00E854C5" w14:paraId="1AF41AB4" w14:textId="77777777" w:rsidTr="0087212A">
        <w:trPr>
          <w:trHeight w:val="552"/>
        </w:trPr>
        <w:tc>
          <w:tcPr>
            <w:tcW w:w="800" w:type="dxa"/>
            <w:shd w:val="clear" w:color="auto" w:fill="auto"/>
            <w:noWrap/>
            <w:vAlign w:val="center"/>
            <w:hideMark/>
          </w:tcPr>
          <w:p w14:paraId="58F0B0B3"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24B79680" w14:textId="77777777" w:rsidR="00E854C5" w:rsidRPr="00E854C5" w:rsidRDefault="00E854C5" w:rsidP="00E854C5">
            <w:pPr>
              <w:pStyle w:val="HistoryTable"/>
            </w:pPr>
            <w:r w:rsidRPr="00E854C5">
              <w:t>#18</w:t>
            </w:r>
          </w:p>
        </w:tc>
        <w:tc>
          <w:tcPr>
            <w:tcW w:w="1460" w:type="dxa"/>
            <w:shd w:val="clear" w:color="auto" w:fill="auto"/>
            <w:hideMark/>
          </w:tcPr>
          <w:p w14:paraId="32156D50" w14:textId="77777777" w:rsidR="00E854C5" w:rsidRPr="00E854C5" w:rsidRDefault="00E854C5" w:rsidP="00E854C5">
            <w:pPr>
              <w:pStyle w:val="HistoryTable"/>
              <w:rPr>
                <w:b/>
                <w:bCs/>
              </w:rPr>
            </w:pPr>
            <w:r w:rsidRPr="00E854C5">
              <w:rPr>
                <w:b/>
                <w:bCs/>
              </w:rPr>
              <w:t>(1)b, (1)c, (2)c, (3)d, (3)g</w:t>
            </w:r>
          </w:p>
        </w:tc>
        <w:tc>
          <w:tcPr>
            <w:tcW w:w="5449" w:type="dxa"/>
            <w:shd w:val="clear" w:color="000000" w:fill="FFFFFF"/>
            <w:vAlign w:val="center"/>
            <w:hideMark/>
          </w:tcPr>
          <w:p w14:paraId="7B0F7478" w14:textId="67D4FB6E" w:rsidR="00E854C5" w:rsidRPr="00E854C5" w:rsidRDefault="00E854C5" w:rsidP="00E854C5">
            <w:pPr>
              <w:pStyle w:val="HistoryTable"/>
            </w:pPr>
            <w:r w:rsidRPr="00E854C5">
              <w:t>Instrument/Equipment disinfection</w:t>
            </w:r>
          </w:p>
        </w:tc>
      </w:tr>
      <w:tr w:rsidR="00E854C5" w:rsidRPr="00E854C5" w14:paraId="4CD64698" w14:textId="77777777" w:rsidTr="0087212A">
        <w:trPr>
          <w:trHeight w:val="552"/>
        </w:trPr>
        <w:tc>
          <w:tcPr>
            <w:tcW w:w="800" w:type="dxa"/>
            <w:shd w:val="clear" w:color="auto" w:fill="auto"/>
            <w:noWrap/>
            <w:vAlign w:val="center"/>
            <w:hideMark/>
          </w:tcPr>
          <w:p w14:paraId="21B12FA7"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257DDF5A" w14:textId="77777777" w:rsidR="00E854C5" w:rsidRPr="00E854C5" w:rsidRDefault="00E854C5" w:rsidP="00E854C5">
            <w:pPr>
              <w:pStyle w:val="HistoryTable"/>
            </w:pPr>
            <w:r w:rsidRPr="00E854C5">
              <w:t>#19</w:t>
            </w:r>
          </w:p>
        </w:tc>
        <w:tc>
          <w:tcPr>
            <w:tcW w:w="1460" w:type="dxa"/>
            <w:shd w:val="clear" w:color="auto" w:fill="auto"/>
            <w:hideMark/>
          </w:tcPr>
          <w:p w14:paraId="68EE56AF" w14:textId="77777777" w:rsidR="00E854C5" w:rsidRPr="00E854C5" w:rsidRDefault="00E854C5" w:rsidP="00E854C5">
            <w:pPr>
              <w:pStyle w:val="HistoryTable"/>
              <w:rPr>
                <w:b/>
                <w:bCs/>
              </w:rPr>
            </w:pPr>
            <w:r w:rsidRPr="00E854C5">
              <w:rPr>
                <w:b/>
                <w:bCs/>
              </w:rPr>
              <w:t>(1)a, (2)a, (3)d, (3)e</w:t>
            </w:r>
          </w:p>
        </w:tc>
        <w:tc>
          <w:tcPr>
            <w:tcW w:w="5449" w:type="dxa"/>
            <w:shd w:val="clear" w:color="000000" w:fill="FFFFFF"/>
            <w:vAlign w:val="center"/>
            <w:hideMark/>
          </w:tcPr>
          <w:p w14:paraId="1A80735C" w14:textId="70BE9009" w:rsidR="00E854C5" w:rsidRPr="00E854C5" w:rsidRDefault="00550DCE" w:rsidP="00550DCE">
            <w:pPr>
              <w:pStyle w:val="HistoryTable"/>
            </w:pPr>
            <w:r>
              <w:t>D</w:t>
            </w:r>
            <w:r w:rsidR="00E854C5" w:rsidRPr="00E854C5">
              <w:t>isinfecting soaps</w:t>
            </w:r>
          </w:p>
        </w:tc>
      </w:tr>
      <w:tr w:rsidR="00E854C5" w:rsidRPr="00E854C5" w14:paraId="144B3892" w14:textId="77777777" w:rsidTr="0087212A">
        <w:trPr>
          <w:trHeight w:val="552"/>
        </w:trPr>
        <w:tc>
          <w:tcPr>
            <w:tcW w:w="800" w:type="dxa"/>
            <w:shd w:val="clear" w:color="auto" w:fill="auto"/>
            <w:noWrap/>
            <w:vAlign w:val="center"/>
            <w:hideMark/>
          </w:tcPr>
          <w:p w14:paraId="535F1B92"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02B18E87" w14:textId="77777777" w:rsidR="00E854C5" w:rsidRPr="00E854C5" w:rsidRDefault="00E854C5" w:rsidP="00E854C5">
            <w:pPr>
              <w:pStyle w:val="HistoryTable"/>
            </w:pPr>
            <w:r w:rsidRPr="00E854C5">
              <w:t>#20</w:t>
            </w:r>
          </w:p>
        </w:tc>
        <w:tc>
          <w:tcPr>
            <w:tcW w:w="1460" w:type="dxa"/>
            <w:shd w:val="clear" w:color="auto" w:fill="auto"/>
            <w:hideMark/>
          </w:tcPr>
          <w:p w14:paraId="70B58664" w14:textId="77777777" w:rsidR="00E854C5" w:rsidRPr="00E854C5" w:rsidRDefault="00E854C5" w:rsidP="00E854C5">
            <w:pPr>
              <w:pStyle w:val="HistoryTable"/>
              <w:rPr>
                <w:b/>
                <w:bCs/>
              </w:rPr>
            </w:pPr>
            <w:r w:rsidRPr="00E854C5">
              <w:rPr>
                <w:b/>
                <w:bCs/>
              </w:rPr>
              <w:t>(1)a, (2)a, (3)d, (3)e</w:t>
            </w:r>
          </w:p>
        </w:tc>
        <w:tc>
          <w:tcPr>
            <w:tcW w:w="5449" w:type="dxa"/>
            <w:shd w:val="clear" w:color="000000" w:fill="FFFFFF"/>
            <w:vAlign w:val="center"/>
            <w:hideMark/>
          </w:tcPr>
          <w:p w14:paraId="7EF190C1" w14:textId="59A8AABF" w:rsidR="00E854C5" w:rsidRPr="00E854C5" w:rsidRDefault="00550DCE" w:rsidP="00550DCE">
            <w:pPr>
              <w:pStyle w:val="HistoryTable"/>
            </w:pPr>
            <w:r>
              <w:t>O</w:t>
            </w:r>
            <w:r w:rsidR="00E854C5" w:rsidRPr="00E854C5">
              <w:t>ral hygiene products</w:t>
            </w:r>
          </w:p>
        </w:tc>
      </w:tr>
      <w:tr w:rsidR="00E854C5" w:rsidRPr="00E854C5" w14:paraId="5A040E0A" w14:textId="77777777" w:rsidTr="0087212A">
        <w:trPr>
          <w:trHeight w:val="552"/>
        </w:trPr>
        <w:tc>
          <w:tcPr>
            <w:tcW w:w="800" w:type="dxa"/>
            <w:shd w:val="clear" w:color="auto" w:fill="auto"/>
            <w:noWrap/>
            <w:vAlign w:val="center"/>
            <w:hideMark/>
          </w:tcPr>
          <w:p w14:paraId="24C607A4"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5C1FE6CF" w14:textId="77777777" w:rsidR="00E854C5" w:rsidRPr="00E854C5" w:rsidRDefault="00E854C5" w:rsidP="00E854C5">
            <w:pPr>
              <w:pStyle w:val="HistoryTable"/>
            </w:pPr>
            <w:r w:rsidRPr="00E854C5">
              <w:t>#21</w:t>
            </w:r>
          </w:p>
        </w:tc>
        <w:tc>
          <w:tcPr>
            <w:tcW w:w="1460" w:type="dxa"/>
            <w:shd w:val="clear" w:color="auto" w:fill="auto"/>
            <w:hideMark/>
          </w:tcPr>
          <w:p w14:paraId="4EE670EF" w14:textId="77777777" w:rsidR="00E854C5" w:rsidRPr="00E854C5" w:rsidRDefault="00E854C5" w:rsidP="00E854C5">
            <w:pPr>
              <w:pStyle w:val="HistoryTable"/>
              <w:rPr>
                <w:b/>
                <w:bCs/>
              </w:rPr>
            </w:pPr>
            <w:r w:rsidRPr="00E854C5">
              <w:rPr>
                <w:b/>
                <w:bCs/>
              </w:rPr>
              <w:t>(1)a, (2)a, (3)d, (3)e</w:t>
            </w:r>
          </w:p>
        </w:tc>
        <w:tc>
          <w:tcPr>
            <w:tcW w:w="5449" w:type="dxa"/>
            <w:shd w:val="clear" w:color="000000" w:fill="FFFFFF"/>
            <w:vAlign w:val="center"/>
            <w:hideMark/>
          </w:tcPr>
          <w:p w14:paraId="79876394" w14:textId="77777777" w:rsidR="00E854C5" w:rsidRPr="00E854C5" w:rsidRDefault="00E854C5" w:rsidP="00E854C5">
            <w:pPr>
              <w:pStyle w:val="HistoryTable"/>
            </w:pPr>
            <w:r w:rsidRPr="00E854C5">
              <w:t>Corporal hygiene products</w:t>
            </w:r>
          </w:p>
        </w:tc>
      </w:tr>
      <w:tr w:rsidR="00E854C5" w:rsidRPr="00E854C5" w14:paraId="534D2C98" w14:textId="77777777" w:rsidTr="0087212A">
        <w:trPr>
          <w:trHeight w:val="276"/>
        </w:trPr>
        <w:tc>
          <w:tcPr>
            <w:tcW w:w="800" w:type="dxa"/>
            <w:shd w:val="clear" w:color="auto" w:fill="auto"/>
            <w:noWrap/>
            <w:vAlign w:val="center"/>
            <w:hideMark/>
          </w:tcPr>
          <w:p w14:paraId="689B7769"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2F40F8EC" w14:textId="77777777" w:rsidR="00E854C5" w:rsidRPr="00E854C5" w:rsidRDefault="00E854C5" w:rsidP="00E854C5">
            <w:pPr>
              <w:pStyle w:val="HistoryTable"/>
            </w:pPr>
            <w:r w:rsidRPr="00E854C5">
              <w:t>#22</w:t>
            </w:r>
          </w:p>
        </w:tc>
        <w:tc>
          <w:tcPr>
            <w:tcW w:w="1460" w:type="dxa"/>
            <w:shd w:val="clear" w:color="auto" w:fill="auto"/>
            <w:hideMark/>
          </w:tcPr>
          <w:p w14:paraId="6A9A4049" w14:textId="77777777" w:rsidR="00E854C5" w:rsidRPr="00E854C5" w:rsidRDefault="00E854C5" w:rsidP="00E854C5">
            <w:pPr>
              <w:pStyle w:val="HistoryTable"/>
              <w:rPr>
                <w:b/>
                <w:bCs/>
              </w:rPr>
            </w:pPr>
            <w:r w:rsidRPr="00E854C5">
              <w:rPr>
                <w:b/>
                <w:bCs/>
              </w:rPr>
              <w:t>(1)b</w:t>
            </w:r>
          </w:p>
        </w:tc>
        <w:tc>
          <w:tcPr>
            <w:tcW w:w="5449" w:type="dxa"/>
            <w:shd w:val="clear" w:color="000000" w:fill="FFFFFF"/>
            <w:vAlign w:val="center"/>
            <w:hideMark/>
          </w:tcPr>
          <w:p w14:paraId="3AA12675" w14:textId="77777777" w:rsidR="00E854C5" w:rsidRPr="00E854C5" w:rsidRDefault="00E854C5" w:rsidP="00E854C5">
            <w:pPr>
              <w:pStyle w:val="HistoryTable"/>
            </w:pPr>
            <w:r w:rsidRPr="00E854C5">
              <w:t>Disinfection of hatching eggs</w:t>
            </w:r>
          </w:p>
        </w:tc>
      </w:tr>
      <w:tr w:rsidR="00E854C5" w:rsidRPr="00E854C5" w14:paraId="3B2F04E5" w14:textId="77777777" w:rsidTr="0087212A">
        <w:trPr>
          <w:trHeight w:val="552"/>
        </w:trPr>
        <w:tc>
          <w:tcPr>
            <w:tcW w:w="800" w:type="dxa"/>
            <w:shd w:val="clear" w:color="auto" w:fill="auto"/>
            <w:noWrap/>
            <w:vAlign w:val="center"/>
            <w:hideMark/>
          </w:tcPr>
          <w:p w14:paraId="52B4B81B"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7A07CB6E" w14:textId="77777777" w:rsidR="00E854C5" w:rsidRPr="00E854C5" w:rsidRDefault="00E854C5" w:rsidP="00E854C5">
            <w:pPr>
              <w:pStyle w:val="HistoryTable"/>
            </w:pPr>
            <w:r w:rsidRPr="00E854C5">
              <w:t>#23</w:t>
            </w:r>
          </w:p>
        </w:tc>
        <w:tc>
          <w:tcPr>
            <w:tcW w:w="1460" w:type="dxa"/>
            <w:shd w:val="clear" w:color="auto" w:fill="auto"/>
            <w:hideMark/>
          </w:tcPr>
          <w:p w14:paraId="1814432F" w14:textId="77777777" w:rsidR="00E854C5" w:rsidRPr="00E854C5" w:rsidRDefault="00E854C5" w:rsidP="00E854C5">
            <w:pPr>
              <w:pStyle w:val="HistoryTable"/>
              <w:rPr>
                <w:b/>
                <w:bCs/>
              </w:rPr>
            </w:pPr>
            <w:r w:rsidRPr="00E854C5">
              <w:rPr>
                <w:b/>
                <w:bCs/>
              </w:rPr>
              <w:t>(1)a, (2)a, (3)d, (3)e</w:t>
            </w:r>
          </w:p>
        </w:tc>
        <w:tc>
          <w:tcPr>
            <w:tcW w:w="5449" w:type="dxa"/>
            <w:shd w:val="clear" w:color="000000" w:fill="FFFFFF"/>
            <w:vAlign w:val="center"/>
            <w:hideMark/>
          </w:tcPr>
          <w:p w14:paraId="5C621E3D" w14:textId="77777777" w:rsidR="00E854C5" w:rsidRPr="00E854C5" w:rsidRDefault="00E854C5" w:rsidP="00E854C5">
            <w:pPr>
              <w:pStyle w:val="HistoryTable"/>
            </w:pPr>
            <w:r w:rsidRPr="00E854C5">
              <w:t xml:space="preserve">Animal feet disinfection </w:t>
            </w:r>
          </w:p>
        </w:tc>
      </w:tr>
      <w:tr w:rsidR="00E854C5" w:rsidRPr="00E854C5" w14:paraId="3691C4EF" w14:textId="77777777" w:rsidTr="0087212A">
        <w:trPr>
          <w:trHeight w:val="552"/>
        </w:trPr>
        <w:tc>
          <w:tcPr>
            <w:tcW w:w="800" w:type="dxa"/>
            <w:shd w:val="clear" w:color="auto" w:fill="auto"/>
            <w:noWrap/>
            <w:vAlign w:val="center"/>
            <w:hideMark/>
          </w:tcPr>
          <w:p w14:paraId="15DB8CE7"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22B926E1" w14:textId="77777777" w:rsidR="00E854C5" w:rsidRPr="00E854C5" w:rsidRDefault="00E854C5" w:rsidP="00E854C5">
            <w:pPr>
              <w:pStyle w:val="HistoryTable"/>
            </w:pPr>
            <w:r w:rsidRPr="00E854C5">
              <w:t>#24</w:t>
            </w:r>
          </w:p>
        </w:tc>
        <w:tc>
          <w:tcPr>
            <w:tcW w:w="1460" w:type="dxa"/>
            <w:shd w:val="clear" w:color="auto" w:fill="auto"/>
            <w:hideMark/>
          </w:tcPr>
          <w:p w14:paraId="3415389E" w14:textId="77777777" w:rsidR="00E854C5" w:rsidRPr="00E854C5" w:rsidRDefault="00E854C5" w:rsidP="00E854C5">
            <w:pPr>
              <w:pStyle w:val="HistoryTable"/>
              <w:rPr>
                <w:b/>
                <w:bCs/>
              </w:rPr>
            </w:pPr>
            <w:r w:rsidRPr="00E854C5">
              <w:rPr>
                <w:b/>
                <w:bCs/>
              </w:rPr>
              <w:t>(1)a, (2)a, (3)d, (3)e</w:t>
            </w:r>
          </w:p>
        </w:tc>
        <w:tc>
          <w:tcPr>
            <w:tcW w:w="5449" w:type="dxa"/>
            <w:shd w:val="clear" w:color="000000" w:fill="FFFFFF"/>
            <w:vAlign w:val="center"/>
            <w:hideMark/>
          </w:tcPr>
          <w:p w14:paraId="2D29C5B0" w14:textId="77777777" w:rsidR="00E854C5" w:rsidRPr="00E854C5" w:rsidRDefault="00E854C5" w:rsidP="00E854C5">
            <w:pPr>
              <w:pStyle w:val="HistoryTable"/>
            </w:pPr>
            <w:r w:rsidRPr="00E854C5">
              <w:t>Teat disinfection</w:t>
            </w:r>
          </w:p>
        </w:tc>
      </w:tr>
      <w:tr w:rsidR="00E854C5" w:rsidRPr="00E854C5" w14:paraId="3E587088" w14:textId="77777777" w:rsidTr="0087212A">
        <w:trPr>
          <w:trHeight w:val="552"/>
        </w:trPr>
        <w:tc>
          <w:tcPr>
            <w:tcW w:w="800" w:type="dxa"/>
            <w:shd w:val="clear" w:color="auto" w:fill="auto"/>
            <w:noWrap/>
            <w:vAlign w:val="center"/>
            <w:hideMark/>
          </w:tcPr>
          <w:p w14:paraId="113CD00E"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65066AA5" w14:textId="77777777" w:rsidR="00E854C5" w:rsidRPr="00E854C5" w:rsidRDefault="00E854C5" w:rsidP="00E854C5">
            <w:pPr>
              <w:pStyle w:val="HistoryTable"/>
            </w:pPr>
            <w:r w:rsidRPr="00E854C5">
              <w:t>#25</w:t>
            </w:r>
          </w:p>
        </w:tc>
        <w:tc>
          <w:tcPr>
            <w:tcW w:w="1460" w:type="dxa"/>
            <w:shd w:val="clear" w:color="auto" w:fill="auto"/>
            <w:hideMark/>
          </w:tcPr>
          <w:p w14:paraId="423639AC" w14:textId="77777777" w:rsidR="00E854C5" w:rsidRPr="00E854C5" w:rsidRDefault="00E854C5" w:rsidP="00E854C5">
            <w:pPr>
              <w:pStyle w:val="HistoryTable"/>
              <w:rPr>
                <w:b/>
                <w:bCs/>
              </w:rPr>
            </w:pPr>
            <w:r w:rsidRPr="00E854C5">
              <w:rPr>
                <w:b/>
                <w:bCs/>
              </w:rPr>
              <w:t>(1)b, (1)d, (2)c, (3)g</w:t>
            </w:r>
          </w:p>
        </w:tc>
        <w:tc>
          <w:tcPr>
            <w:tcW w:w="5449" w:type="dxa"/>
            <w:shd w:val="clear" w:color="000000" w:fill="FFFFFF"/>
            <w:vAlign w:val="center"/>
            <w:hideMark/>
          </w:tcPr>
          <w:p w14:paraId="354F4D62" w14:textId="77777777" w:rsidR="00E854C5" w:rsidRPr="00E854C5" w:rsidRDefault="00E854C5" w:rsidP="00E854C5">
            <w:pPr>
              <w:pStyle w:val="HistoryTable"/>
            </w:pPr>
            <w:r w:rsidRPr="00E854C5">
              <w:t>Soft furnishing/textile disinfection</w:t>
            </w:r>
          </w:p>
        </w:tc>
      </w:tr>
      <w:tr w:rsidR="00E854C5" w:rsidRPr="00E854C5" w14:paraId="576D3CFA" w14:textId="77777777" w:rsidTr="0087212A">
        <w:trPr>
          <w:trHeight w:val="276"/>
        </w:trPr>
        <w:tc>
          <w:tcPr>
            <w:tcW w:w="800" w:type="dxa"/>
            <w:shd w:val="clear" w:color="auto" w:fill="auto"/>
            <w:noWrap/>
            <w:vAlign w:val="center"/>
            <w:hideMark/>
          </w:tcPr>
          <w:p w14:paraId="61E1F9A1"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353288BB" w14:textId="77777777" w:rsidR="00E854C5" w:rsidRPr="00E854C5" w:rsidRDefault="00E854C5" w:rsidP="00E854C5">
            <w:pPr>
              <w:pStyle w:val="HistoryTable"/>
            </w:pPr>
            <w:r w:rsidRPr="00E854C5">
              <w:t>#26</w:t>
            </w:r>
          </w:p>
        </w:tc>
        <w:tc>
          <w:tcPr>
            <w:tcW w:w="1460" w:type="dxa"/>
            <w:shd w:val="clear" w:color="auto" w:fill="auto"/>
            <w:hideMark/>
          </w:tcPr>
          <w:p w14:paraId="6EB42F58" w14:textId="77777777" w:rsidR="00E854C5" w:rsidRPr="00E854C5" w:rsidRDefault="00E854C5" w:rsidP="00E854C5">
            <w:pPr>
              <w:pStyle w:val="HistoryTable"/>
              <w:rPr>
                <w:b/>
                <w:bCs/>
              </w:rPr>
            </w:pPr>
            <w:r w:rsidRPr="00E854C5">
              <w:rPr>
                <w:b/>
                <w:bCs/>
              </w:rPr>
              <w:t>(1)b, (2)h</w:t>
            </w:r>
          </w:p>
        </w:tc>
        <w:tc>
          <w:tcPr>
            <w:tcW w:w="5449" w:type="dxa"/>
            <w:shd w:val="clear" w:color="000000" w:fill="FFFFFF"/>
            <w:vAlign w:val="center"/>
            <w:hideMark/>
          </w:tcPr>
          <w:p w14:paraId="118932C4" w14:textId="77777777" w:rsidR="00E854C5" w:rsidRPr="00E854C5" w:rsidRDefault="00E854C5" w:rsidP="00E854C5">
            <w:pPr>
              <w:pStyle w:val="HistoryTable"/>
            </w:pPr>
            <w:r w:rsidRPr="00E854C5">
              <w:t xml:space="preserve">Disinfection of manure and litter </w:t>
            </w:r>
          </w:p>
        </w:tc>
      </w:tr>
      <w:tr w:rsidR="00E854C5" w:rsidRPr="00E854C5" w14:paraId="13E9F5B8" w14:textId="77777777" w:rsidTr="0087212A">
        <w:trPr>
          <w:trHeight w:val="276"/>
        </w:trPr>
        <w:tc>
          <w:tcPr>
            <w:tcW w:w="800" w:type="dxa"/>
            <w:shd w:val="clear" w:color="auto" w:fill="auto"/>
            <w:noWrap/>
            <w:vAlign w:val="center"/>
            <w:hideMark/>
          </w:tcPr>
          <w:p w14:paraId="14C9305E"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05514F0F" w14:textId="77777777" w:rsidR="00E854C5" w:rsidRPr="00E854C5" w:rsidRDefault="00E854C5" w:rsidP="00E854C5">
            <w:pPr>
              <w:pStyle w:val="HistoryTable"/>
            </w:pPr>
            <w:r w:rsidRPr="00E854C5">
              <w:t>#27</w:t>
            </w:r>
          </w:p>
        </w:tc>
        <w:tc>
          <w:tcPr>
            <w:tcW w:w="1460" w:type="dxa"/>
            <w:shd w:val="clear" w:color="auto" w:fill="auto"/>
            <w:hideMark/>
          </w:tcPr>
          <w:p w14:paraId="1B529BD0" w14:textId="77777777" w:rsidR="00E854C5" w:rsidRPr="00E854C5" w:rsidRDefault="00E854C5" w:rsidP="00E854C5">
            <w:pPr>
              <w:pStyle w:val="HistoryTable"/>
              <w:rPr>
                <w:b/>
                <w:bCs/>
              </w:rPr>
            </w:pPr>
            <w:r w:rsidRPr="00E854C5">
              <w:rPr>
                <w:b/>
                <w:bCs/>
              </w:rPr>
              <w:t>(1)e, (2)e</w:t>
            </w:r>
          </w:p>
        </w:tc>
        <w:tc>
          <w:tcPr>
            <w:tcW w:w="5449" w:type="dxa"/>
            <w:shd w:val="clear" w:color="000000" w:fill="FFFFFF"/>
            <w:vAlign w:val="center"/>
            <w:hideMark/>
          </w:tcPr>
          <w:p w14:paraId="4B30383A" w14:textId="77777777" w:rsidR="00E854C5" w:rsidRPr="00E854C5" w:rsidRDefault="00E854C5" w:rsidP="00E854C5">
            <w:pPr>
              <w:pStyle w:val="HistoryTable"/>
            </w:pPr>
            <w:r w:rsidRPr="00E854C5">
              <w:t>Room disinfection</w:t>
            </w:r>
          </w:p>
        </w:tc>
      </w:tr>
      <w:tr w:rsidR="00E854C5" w:rsidRPr="00E854C5" w14:paraId="6F27BC3A" w14:textId="77777777" w:rsidTr="0087212A">
        <w:trPr>
          <w:trHeight w:val="828"/>
        </w:trPr>
        <w:tc>
          <w:tcPr>
            <w:tcW w:w="800" w:type="dxa"/>
            <w:shd w:val="clear" w:color="auto" w:fill="auto"/>
            <w:noWrap/>
            <w:vAlign w:val="center"/>
            <w:hideMark/>
          </w:tcPr>
          <w:p w14:paraId="118455DC"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1CDE8D60" w14:textId="77777777" w:rsidR="00E854C5" w:rsidRPr="00E854C5" w:rsidRDefault="00E854C5" w:rsidP="00E854C5">
            <w:pPr>
              <w:pStyle w:val="HistoryTable"/>
            </w:pPr>
            <w:r w:rsidRPr="00E854C5">
              <w:t>#28</w:t>
            </w:r>
          </w:p>
        </w:tc>
        <w:tc>
          <w:tcPr>
            <w:tcW w:w="1460" w:type="dxa"/>
            <w:shd w:val="clear" w:color="auto" w:fill="auto"/>
            <w:hideMark/>
          </w:tcPr>
          <w:p w14:paraId="20E2550C" w14:textId="77777777" w:rsidR="00E854C5" w:rsidRPr="00E854C5" w:rsidRDefault="00E854C5" w:rsidP="00E854C5">
            <w:pPr>
              <w:pStyle w:val="HistoryTable"/>
              <w:rPr>
                <w:b/>
                <w:bCs/>
              </w:rPr>
            </w:pPr>
            <w:r w:rsidRPr="00E854C5">
              <w:rPr>
                <w:b/>
                <w:bCs/>
              </w:rPr>
              <w:t>(1)b, (3)c, (3)g</w:t>
            </w:r>
          </w:p>
        </w:tc>
        <w:tc>
          <w:tcPr>
            <w:tcW w:w="5449" w:type="dxa"/>
            <w:shd w:val="clear" w:color="000000" w:fill="FFFFFF"/>
            <w:vAlign w:val="center"/>
            <w:hideMark/>
          </w:tcPr>
          <w:p w14:paraId="25E5778A" w14:textId="77777777" w:rsidR="00E854C5" w:rsidRPr="00E854C5" w:rsidRDefault="00E854C5" w:rsidP="00E854C5">
            <w:pPr>
              <w:pStyle w:val="HistoryTable"/>
            </w:pPr>
            <w:r w:rsidRPr="00E854C5">
              <w:t>Products used for disinfection of the materials and surfaces associated with the housing or transportation of animals  (including aqua culture)</w:t>
            </w:r>
          </w:p>
        </w:tc>
      </w:tr>
      <w:tr w:rsidR="00E854C5" w:rsidRPr="00E854C5" w14:paraId="42A4CBF2" w14:textId="77777777" w:rsidTr="0087212A">
        <w:trPr>
          <w:trHeight w:val="276"/>
        </w:trPr>
        <w:tc>
          <w:tcPr>
            <w:tcW w:w="800" w:type="dxa"/>
            <w:shd w:val="clear" w:color="auto" w:fill="auto"/>
            <w:noWrap/>
            <w:vAlign w:val="center"/>
            <w:hideMark/>
          </w:tcPr>
          <w:p w14:paraId="626CE7C4" w14:textId="77777777" w:rsidR="00E854C5" w:rsidRPr="00E854C5" w:rsidRDefault="00E854C5" w:rsidP="00E854C5">
            <w:pPr>
              <w:pStyle w:val="HistoryTable"/>
            </w:pPr>
            <w:r w:rsidRPr="00E854C5">
              <w:t>PT3</w:t>
            </w:r>
          </w:p>
        </w:tc>
        <w:tc>
          <w:tcPr>
            <w:tcW w:w="600" w:type="dxa"/>
            <w:shd w:val="clear" w:color="auto" w:fill="auto"/>
            <w:noWrap/>
            <w:vAlign w:val="center"/>
            <w:hideMark/>
          </w:tcPr>
          <w:p w14:paraId="07043D39" w14:textId="77777777" w:rsidR="00E854C5" w:rsidRPr="00E854C5" w:rsidRDefault="00E854C5" w:rsidP="00E854C5">
            <w:pPr>
              <w:pStyle w:val="HistoryTable"/>
            </w:pPr>
            <w:r w:rsidRPr="00E854C5">
              <w:t>#29</w:t>
            </w:r>
          </w:p>
        </w:tc>
        <w:tc>
          <w:tcPr>
            <w:tcW w:w="1460" w:type="dxa"/>
            <w:shd w:val="clear" w:color="auto" w:fill="auto"/>
            <w:hideMark/>
          </w:tcPr>
          <w:p w14:paraId="48AD6037" w14:textId="77777777" w:rsidR="00E854C5" w:rsidRPr="00E854C5" w:rsidRDefault="00E854C5" w:rsidP="00E854C5">
            <w:pPr>
              <w:pStyle w:val="HistoryTable"/>
              <w:rPr>
                <w:b/>
                <w:bCs/>
              </w:rPr>
            </w:pPr>
            <w:r w:rsidRPr="00E854C5">
              <w:rPr>
                <w:b/>
                <w:bCs/>
              </w:rPr>
              <w:t>(1), (2)</w:t>
            </w:r>
          </w:p>
        </w:tc>
        <w:tc>
          <w:tcPr>
            <w:tcW w:w="5449" w:type="dxa"/>
            <w:shd w:val="clear" w:color="000000" w:fill="FFFFFF"/>
            <w:vAlign w:val="center"/>
            <w:hideMark/>
          </w:tcPr>
          <w:p w14:paraId="3E50F3C6" w14:textId="77777777" w:rsidR="00E854C5" w:rsidRPr="00E854C5" w:rsidRDefault="00E854C5" w:rsidP="00E854C5">
            <w:pPr>
              <w:pStyle w:val="HistoryTable"/>
            </w:pPr>
            <w:r w:rsidRPr="00E854C5">
              <w:t>Other PT3</w:t>
            </w:r>
          </w:p>
        </w:tc>
      </w:tr>
      <w:tr w:rsidR="00E854C5" w:rsidRPr="00E854C5" w14:paraId="2CCF536A" w14:textId="77777777" w:rsidTr="0087212A">
        <w:trPr>
          <w:trHeight w:val="552"/>
        </w:trPr>
        <w:tc>
          <w:tcPr>
            <w:tcW w:w="800" w:type="dxa"/>
            <w:shd w:val="clear" w:color="auto" w:fill="auto"/>
            <w:noWrap/>
            <w:vAlign w:val="center"/>
            <w:hideMark/>
          </w:tcPr>
          <w:p w14:paraId="4730D4A9" w14:textId="77777777" w:rsidR="00E854C5" w:rsidRPr="00E854C5" w:rsidRDefault="00E854C5" w:rsidP="00E854C5">
            <w:pPr>
              <w:pStyle w:val="HistoryTable"/>
            </w:pPr>
            <w:r w:rsidRPr="00E854C5">
              <w:t>PT4</w:t>
            </w:r>
          </w:p>
        </w:tc>
        <w:tc>
          <w:tcPr>
            <w:tcW w:w="600" w:type="dxa"/>
            <w:shd w:val="clear" w:color="auto" w:fill="auto"/>
            <w:noWrap/>
            <w:vAlign w:val="center"/>
            <w:hideMark/>
          </w:tcPr>
          <w:p w14:paraId="375B37C1" w14:textId="77777777" w:rsidR="00E854C5" w:rsidRPr="00E854C5" w:rsidRDefault="00E854C5" w:rsidP="00E854C5">
            <w:pPr>
              <w:pStyle w:val="HistoryTable"/>
            </w:pPr>
            <w:r w:rsidRPr="00E854C5">
              <w:t>#30</w:t>
            </w:r>
          </w:p>
        </w:tc>
        <w:tc>
          <w:tcPr>
            <w:tcW w:w="1460" w:type="dxa"/>
            <w:shd w:val="clear" w:color="auto" w:fill="auto"/>
            <w:hideMark/>
          </w:tcPr>
          <w:p w14:paraId="4176B138" w14:textId="77777777" w:rsidR="00E854C5" w:rsidRPr="00E854C5" w:rsidRDefault="00E854C5" w:rsidP="00E854C5">
            <w:pPr>
              <w:pStyle w:val="HistoryTable"/>
              <w:rPr>
                <w:b/>
                <w:bCs/>
              </w:rPr>
            </w:pPr>
            <w:r w:rsidRPr="00E854C5">
              <w:rPr>
                <w:b/>
                <w:bCs/>
              </w:rPr>
              <w:t>(1)b, (1)c, (2)c, (3)ai, (3)bii</w:t>
            </w:r>
          </w:p>
        </w:tc>
        <w:tc>
          <w:tcPr>
            <w:tcW w:w="5449" w:type="dxa"/>
            <w:shd w:val="clear" w:color="000000" w:fill="FFFFFF"/>
            <w:vAlign w:val="center"/>
            <w:hideMark/>
          </w:tcPr>
          <w:p w14:paraId="01797D7A" w14:textId="77777777" w:rsidR="00E854C5" w:rsidRPr="00E854C5" w:rsidRDefault="00E854C5" w:rsidP="00E854C5">
            <w:pPr>
              <w:pStyle w:val="HistoryTable"/>
            </w:pPr>
            <w:r w:rsidRPr="00E854C5">
              <w:t>Hard surfaces/ instrument/ Equipment disinfection.</w:t>
            </w:r>
          </w:p>
        </w:tc>
      </w:tr>
      <w:tr w:rsidR="00E854C5" w:rsidRPr="00E854C5" w14:paraId="139E1AC3" w14:textId="77777777" w:rsidTr="0087212A">
        <w:trPr>
          <w:trHeight w:val="552"/>
        </w:trPr>
        <w:tc>
          <w:tcPr>
            <w:tcW w:w="800" w:type="dxa"/>
            <w:shd w:val="clear" w:color="auto" w:fill="auto"/>
            <w:noWrap/>
            <w:vAlign w:val="center"/>
            <w:hideMark/>
          </w:tcPr>
          <w:p w14:paraId="28BFD5CA" w14:textId="77777777" w:rsidR="00E854C5" w:rsidRPr="00E854C5" w:rsidRDefault="00E854C5" w:rsidP="00E854C5">
            <w:pPr>
              <w:pStyle w:val="HistoryTable"/>
            </w:pPr>
            <w:r w:rsidRPr="00E854C5">
              <w:t>PT4</w:t>
            </w:r>
          </w:p>
        </w:tc>
        <w:tc>
          <w:tcPr>
            <w:tcW w:w="600" w:type="dxa"/>
            <w:shd w:val="clear" w:color="auto" w:fill="auto"/>
            <w:noWrap/>
            <w:vAlign w:val="center"/>
            <w:hideMark/>
          </w:tcPr>
          <w:p w14:paraId="627961E9" w14:textId="77777777" w:rsidR="00E854C5" w:rsidRPr="00E854C5" w:rsidRDefault="00E854C5" w:rsidP="00E854C5">
            <w:pPr>
              <w:pStyle w:val="HistoryTable"/>
            </w:pPr>
            <w:r w:rsidRPr="00E854C5">
              <w:t>#31</w:t>
            </w:r>
          </w:p>
        </w:tc>
        <w:tc>
          <w:tcPr>
            <w:tcW w:w="1460" w:type="dxa"/>
            <w:shd w:val="clear" w:color="auto" w:fill="auto"/>
            <w:hideMark/>
          </w:tcPr>
          <w:p w14:paraId="65AE20B0" w14:textId="77777777" w:rsidR="00E854C5" w:rsidRPr="00E854C5" w:rsidRDefault="00E854C5" w:rsidP="00E854C5">
            <w:pPr>
              <w:pStyle w:val="HistoryTable"/>
              <w:rPr>
                <w:b/>
                <w:bCs/>
              </w:rPr>
            </w:pPr>
            <w:r w:rsidRPr="00E854C5">
              <w:rPr>
                <w:b/>
                <w:bCs/>
              </w:rPr>
              <w:t>(1)h</w:t>
            </w:r>
          </w:p>
        </w:tc>
        <w:tc>
          <w:tcPr>
            <w:tcW w:w="5449" w:type="dxa"/>
            <w:shd w:val="clear" w:color="000000" w:fill="FFFFFF"/>
            <w:vAlign w:val="center"/>
            <w:hideMark/>
          </w:tcPr>
          <w:p w14:paraId="6428FDD1" w14:textId="77777777" w:rsidR="00E854C5" w:rsidRPr="00E854C5" w:rsidRDefault="00E854C5" w:rsidP="00E854C5">
            <w:pPr>
              <w:pStyle w:val="HistoryTable"/>
            </w:pPr>
            <w:r w:rsidRPr="00E854C5">
              <w:t xml:space="preserve">Disinfection in dish washing machines and crate washers </w:t>
            </w:r>
          </w:p>
        </w:tc>
      </w:tr>
      <w:tr w:rsidR="00E854C5" w:rsidRPr="00E854C5" w14:paraId="1F2206FA" w14:textId="77777777" w:rsidTr="0087212A">
        <w:trPr>
          <w:trHeight w:val="276"/>
        </w:trPr>
        <w:tc>
          <w:tcPr>
            <w:tcW w:w="800" w:type="dxa"/>
            <w:shd w:val="clear" w:color="auto" w:fill="auto"/>
            <w:noWrap/>
            <w:vAlign w:val="center"/>
            <w:hideMark/>
          </w:tcPr>
          <w:p w14:paraId="33756A88" w14:textId="77777777" w:rsidR="00E854C5" w:rsidRPr="00E854C5" w:rsidRDefault="00E854C5" w:rsidP="00E854C5">
            <w:pPr>
              <w:pStyle w:val="HistoryTable"/>
            </w:pPr>
            <w:r w:rsidRPr="00E854C5">
              <w:t>PT4</w:t>
            </w:r>
          </w:p>
        </w:tc>
        <w:tc>
          <w:tcPr>
            <w:tcW w:w="600" w:type="dxa"/>
            <w:shd w:val="clear" w:color="auto" w:fill="auto"/>
            <w:noWrap/>
            <w:vAlign w:val="center"/>
            <w:hideMark/>
          </w:tcPr>
          <w:p w14:paraId="3A84A605" w14:textId="77777777" w:rsidR="00E854C5" w:rsidRPr="00E854C5" w:rsidRDefault="00E854C5" w:rsidP="00E854C5">
            <w:pPr>
              <w:pStyle w:val="HistoryTable"/>
            </w:pPr>
            <w:r w:rsidRPr="00E854C5">
              <w:t>#32</w:t>
            </w:r>
          </w:p>
        </w:tc>
        <w:tc>
          <w:tcPr>
            <w:tcW w:w="1460" w:type="dxa"/>
            <w:shd w:val="clear" w:color="auto" w:fill="auto"/>
            <w:hideMark/>
          </w:tcPr>
          <w:p w14:paraId="0DE1D3A7" w14:textId="77777777" w:rsidR="00E854C5" w:rsidRPr="00E854C5" w:rsidRDefault="00E854C5" w:rsidP="00E854C5">
            <w:pPr>
              <w:pStyle w:val="HistoryTable"/>
              <w:rPr>
                <w:b/>
                <w:bCs/>
              </w:rPr>
            </w:pPr>
            <w:r w:rsidRPr="00E854C5">
              <w:rPr>
                <w:b/>
                <w:bCs/>
              </w:rPr>
              <w:t>(1)e, (2)e</w:t>
            </w:r>
          </w:p>
        </w:tc>
        <w:tc>
          <w:tcPr>
            <w:tcW w:w="5449" w:type="dxa"/>
            <w:shd w:val="clear" w:color="000000" w:fill="FFFFFF"/>
            <w:vAlign w:val="center"/>
            <w:hideMark/>
          </w:tcPr>
          <w:p w14:paraId="2B816C3C" w14:textId="77777777" w:rsidR="00E854C5" w:rsidRPr="00E854C5" w:rsidRDefault="00E854C5" w:rsidP="00E854C5">
            <w:pPr>
              <w:pStyle w:val="HistoryTable"/>
            </w:pPr>
            <w:r w:rsidRPr="00E854C5">
              <w:t>Room disinfection (vaporised biocide)</w:t>
            </w:r>
          </w:p>
        </w:tc>
      </w:tr>
      <w:tr w:rsidR="00E854C5" w:rsidRPr="00E854C5" w14:paraId="269E8B97" w14:textId="77777777" w:rsidTr="0087212A">
        <w:trPr>
          <w:trHeight w:val="552"/>
        </w:trPr>
        <w:tc>
          <w:tcPr>
            <w:tcW w:w="800" w:type="dxa"/>
            <w:shd w:val="clear" w:color="auto" w:fill="auto"/>
            <w:noWrap/>
            <w:vAlign w:val="center"/>
            <w:hideMark/>
          </w:tcPr>
          <w:p w14:paraId="77725BBD" w14:textId="77777777" w:rsidR="00E854C5" w:rsidRPr="00E854C5" w:rsidRDefault="00E854C5" w:rsidP="00E854C5">
            <w:pPr>
              <w:pStyle w:val="HistoryTable"/>
            </w:pPr>
            <w:r w:rsidRPr="00E854C5">
              <w:t>PT4</w:t>
            </w:r>
          </w:p>
        </w:tc>
        <w:tc>
          <w:tcPr>
            <w:tcW w:w="600" w:type="dxa"/>
            <w:shd w:val="clear" w:color="auto" w:fill="auto"/>
            <w:noWrap/>
            <w:vAlign w:val="center"/>
            <w:hideMark/>
          </w:tcPr>
          <w:p w14:paraId="79366754" w14:textId="77777777" w:rsidR="00E854C5" w:rsidRPr="00E854C5" w:rsidRDefault="00E854C5" w:rsidP="00E854C5">
            <w:pPr>
              <w:pStyle w:val="HistoryTable"/>
            </w:pPr>
            <w:r w:rsidRPr="00E854C5">
              <w:t>#33</w:t>
            </w:r>
          </w:p>
        </w:tc>
        <w:tc>
          <w:tcPr>
            <w:tcW w:w="1460" w:type="dxa"/>
            <w:shd w:val="clear" w:color="auto" w:fill="auto"/>
            <w:hideMark/>
          </w:tcPr>
          <w:p w14:paraId="37270384" w14:textId="77777777" w:rsidR="00E854C5" w:rsidRPr="00E854C5" w:rsidRDefault="00E854C5" w:rsidP="00E854C5">
            <w:pPr>
              <w:pStyle w:val="HistoryTable"/>
              <w:rPr>
                <w:b/>
                <w:bCs/>
              </w:rPr>
            </w:pPr>
            <w:r w:rsidRPr="00E854C5">
              <w:rPr>
                <w:b/>
                <w:bCs/>
              </w:rPr>
              <w:t>(1)b, (1)h, (2)b, (3)g</w:t>
            </w:r>
          </w:p>
        </w:tc>
        <w:tc>
          <w:tcPr>
            <w:tcW w:w="5449" w:type="dxa"/>
            <w:shd w:val="clear" w:color="000000" w:fill="FFFFFF"/>
            <w:vAlign w:val="center"/>
            <w:hideMark/>
          </w:tcPr>
          <w:p w14:paraId="6EBEBE7C" w14:textId="77777777" w:rsidR="00E854C5" w:rsidRPr="00E854C5" w:rsidRDefault="00E854C5" w:rsidP="00E854C5">
            <w:pPr>
              <w:pStyle w:val="HistoryTable"/>
            </w:pPr>
            <w:r w:rsidRPr="00E854C5">
              <w:t>Disinfectants for pipework / inner surfaces (CIP)/ Surface in contact with water</w:t>
            </w:r>
          </w:p>
        </w:tc>
      </w:tr>
      <w:tr w:rsidR="00E854C5" w:rsidRPr="00E854C5" w14:paraId="4F79BE8C" w14:textId="77777777" w:rsidTr="0087212A">
        <w:trPr>
          <w:trHeight w:val="552"/>
        </w:trPr>
        <w:tc>
          <w:tcPr>
            <w:tcW w:w="800" w:type="dxa"/>
            <w:shd w:val="clear" w:color="auto" w:fill="auto"/>
            <w:noWrap/>
            <w:vAlign w:val="center"/>
            <w:hideMark/>
          </w:tcPr>
          <w:p w14:paraId="2B5DF31A" w14:textId="77777777" w:rsidR="00E854C5" w:rsidRPr="00E854C5" w:rsidRDefault="00E854C5" w:rsidP="00E854C5">
            <w:pPr>
              <w:pStyle w:val="HistoryTable"/>
            </w:pPr>
            <w:r w:rsidRPr="00E854C5">
              <w:t>PT4</w:t>
            </w:r>
          </w:p>
        </w:tc>
        <w:tc>
          <w:tcPr>
            <w:tcW w:w="600" w:type="dxa"/>
            <w:shd w:val="clear" w:color="auto" w:fill="auto"/>
            <w:noWrap/>
            <w:vAlign w:val="center"/>
            <w:hideMark/>
          </w:tcPr>
          <w:p w14:paraId="4E43FEB7" w14:textId="77777777" w:rsidR="00E854C5" w:rsidRPr="00E854C5" w:rsidRDefault="00E854C5" w:rsidP="00E854C5">
            <w:pPr>
              <w:pStyle w:val="HistoryTable"/>
            </w:pPr>
            <w:r w:rsidRPr="00E854C5">
              <w:t>#35</w:t>
            </w:r>
          </w:p>
        </w:tc>
        <w:tc>
          <w:tcPr>
            <w:tcW w:w="1460" w:type="dxa"/>
            <w:shd w:val="clear" w:color="auto" w:fill="auto"/>
            <w:hideMark/>
          </w:tcPr>
          <w:p w14:paraId="218F9D41" w14:textId="77777777" w:rsidR="00E854C5" w:rsidRPr="00E854C5" w:rsidRDefault="00E854C5" w:rsidP="00E854C5">
            <w:pPr>
              <w:pStyle w:val="HistoryTable"/>
              <w:rPr>
                <w:b/>
                <w:bCs/>
              </w:rPr>
            </w:pPr>
            <w:r w:rsidRPr="00E854C5">
              <w:rPr>
                <w:b/>
                <w:bCs/>
              </w:rPr>
              <w:t>(1)f, (2)f, (3)bi</w:t>
            </w:r>
          </w:p>
        </w:tc>
        <w:tc>
          <w:tcPr>
            <w:tcW w:w="5449" w:type="dxa"/>
            <w:shd w:val="clear" w:color="000000" w:fill="FFFFFF"/>
            <w:vAlign w:val="center"/>
            <w:hideMark/>
          </w:tcPr>
          <w:p w14:paraId="1D909A3C" w14:textId="77777777" w:rsidR="00E854C5" w:rsidRPr="00E854C5" w:rsidRDefault="00E854C5" w:rsidP="00E854C5">
            <w:pPr>
              <w:pStyle w:val="HistoryTable"/>
            </w:pPr>
            <w:r w:rsidRPr="00E854C5">
              <w:t>Products used to be incorporated into materials which may enter into contact with food</w:t>
            </w:r>
          </w:p>
        </w:tc>
      </w:tr>
      <w:tr w:rsidR="00E854C5" w:rsidRPr="00E854C5" w14:paraId="75DAA6D3" w14:textId="77777777" w:rsidTr="0087212A">
        <w:trPr>
          <w:trHeight w:val="276"/>
        </w:trPr>
        <w:tc>
          <w:tcPr>
            <w:tcW w:w="800" w:type="dxa"/>
            <w:shd w:val="clear" w:color="auto" w:fill="auto"/>
            <w:noWrap/>
            <w:vAlign w:val="center"/>
            <w:hideMark/>
          </w:tcPr>
          <w:p w14:paraId="0C8FD708" w14:textId="77777777" w:rsidR="00E854C5" w:rsidRPr="00E854C5" w:rsidRDefault="00E854C5" w:rsidP="00E854C5">
            <w:pPr>
              <w:pStyle w:val="HistoryTable"/>
            </w:pPr>
            <w:r w:rsidRPr="00E854C5">
              <w:t>PT4</w:t>
            </w:r>
          </w:p>
        </w:tc>
        <w:tc>
          <w:tcPr>
            <w:tcW w:w="600" w:type="dxa"/>
            <w:shd w:val="clear" w:color="auto" w:fill="auto"/>
            <w:noWrap/>
            <w:vAlign w:val="center"/>
            <w:hideMark/>
          </w:tcPr>
          <w:p w14:paraId="0538FD0A" w14:textId="77777777" w:rsidR="00E854C5" w:rsidRPr="00E854C5" w:rsidRDefault="00E854C5" w:rsidP="00E854C5">
            <w:pPr>
              <w:pStyle w:val="HistoryTable"/>
            </w:pPr>
            <w:r w:rsidRPr="00E854C5">
              <w:t>#34</w:t>
            </w:r>
          </w:p>
        </w:tc>
        <w:tc>
          <w:tcPr>
            <w:tcW w:w="1460" w:type="dxa"/>
            <w:shd w:val="clear" w:color="auto" w:fill="auto"/>
            <w:hideMark/>
          </w:tcPr>
          <w:p w14:paraId="765025C5" w14:textId="77777777" w:rsidR="00E854C5" w:rsidRPr="00E854C5" w:rsidRDefault="00E854C5" w:rsidP="00E854C5">
            <w:pPr>
              <w:pStyle w:val="HistoryTable"/>
              <w:rPr>
                <w:b/>
                <w:bCs/>
              </w:rPr>
            </w:pPr>
            <w:r w:rsidRPr="00E854C5">
              <w:rPr>
                <w:b/>
                <w:bCs/>
              </w:rPr>
              <w:t>(1), (2)</w:t>
            </w:r>
          </w:p>
        </w:tc>
        <w:tc>
          <w:tcPr>
            <w:tcW w:w="5449" w:type="dxa"/>
            <w:shd w:val="clear" w:color="000000" w:fill="FFFFFF"/>
            <w:vAlign w:val="center"/>
            <w:hideMark/>
          </w:tcPr>
          <w:p w14:paraId="7BC5FF28" w14:textId="77777777" w:rsidR="00E854C5" w:rsidRPr="00E854C5" w:rsidRDefault="00E854C5" w:rsidP="00E854C5">
            <w:pPr>
              <w:pStyle w:val="HistoryTable"/>
            </w:pPr>
            <w:r w:rsidRPr="00E854C5">
              <w:t>Other PT4</w:t>
            </w:r>
          </w:p>
        </w:tc>
      </w:tr>
      <w:tr w:rsidR="00E854C5" w:rsidRPr="00E854C5" w14:paraId="7668AD42" w14:textId="77777777" w:rsidTr="0087212A">
        <w:trPr>
          <w:trHeight w:val="276"/>
        </w:trPr>
        <w:tc>
          <w:tcPr>
            <w:tcW w:w="800" w:type="dxa"/>
            <w:shd w:val="clear" w:color="auto" w:fill="auto"/>
            <w:noWrap/>
            <w:vAlign w:val="center"/>
            <w:hideMark/>
          </w:tcPr>
          <w:p w14:paraId="603EF23F" w14:textId="77777777" w:rsidR="00E854C5" w:rsidRPr="00E854C5" w:rsidRDefault="00E854C5" w:rsidP="00E854C5">
            <w:pPr>
              <w:pStyle w:val="HistoryTable"/>
            </w:pPr>
            <w:r w:rsidRPr="00E854C5">
              <w:t>PT5</w:t>
            </w:r>
          </w:p>
        </w:tc>
        <w:tc>
          <w:tcPr>
            <w:tcW w:w="600" w:type="dxa"/>
            <w:shd w:val="clear" w:color="auto" w:fill="auto"/>
            <w:noWrap/>
            <w:vAlign w:val="center"/>
            <w:hideMark/>
          </w:tcPr>
          <w:p w14:paraId="69E055FE" w14:textId="77777777" w:rsidR="00E854C5" w:rsidRPr="00E854C5" w:rsidRDefault="00E854C5" w:rsidP="00E854C5">
            <w:pPr>
              <w:pStyle w:val="HistoryTable"/>
            </w:pPr>
            <w:r w:rsidRPr="00E854C5">
              <w:t>#36</w:t>
            </w:r>
          </w:p>
        </w:tc>
        <w:tc>
          <w:tcPr>
            <w:tcW w:w="1460" w:type="dxa"/>
            <w:shd w:val="clear" w:color="auto" w:fill="auto"/>
            <w:hideMark/>
          </w:tcPr>
          <w:p w14:paraId="5E4FDBD2" w14:textId="77777777" w:rsidR="00E854C5" w:rsidRPr="00E854C5" w:rsidRDefault="00E854C5" w:rsidP="00E854C5">
            <w:pPr>
              <w:pStyle w:val="HistoryTable"/>
              <w:rPr>
                <w:b/>
                <w:bCs/>
              </w:rPr>
            </w:pPr>
            <w:r w:rsidRPr="00E854C5">
              <w:rPr>
                <w:b/>
                <w:bCs/>
              </w:rPr>
              <w:t>(2)g, (3)bi, (3)bii</w:t>
            </w:r>
          </w:p>
        </w:tc>
        <w:tc>
          <w:tcPr>
            <w:tcW w:w="5449" w:type="dxa"/>
            <w:shd w:val="clear" w:color="000000" w:fill="FFFFFF"/>
            <w:vAlign w:val="center"/>
            <w:hideMark/>
          </w:tcPr>
          <w:p w14:paraId="38B0EC5E" w14:textId="77777777" w:rsidR="00E854C5" w:rsidRPr="00E854C5" w:rsidRDefault="00E854C5" w:rsidP="00E854C5">
            <w:pPr>
              <w:pStyle w:val="HistoryTable"/>
            </w:pPr>
            <w:r w:rsidRPr="00E854C5">
              <w:t>Disinfection of drinking water for humans or animals</w:t>
            </w:r>
          </w:p>
        </w:tc>
      </w:tr>
      <w:tr w:rsidR="00E854C5" w:rsidRPr="00E854C5" w14:paraId="4F9DBBD7" w14:textId="77777777" w:rsidTr="0087212A">
        <w:trPr>
          <w:trHeight w:val="276"/>
        </w:trPr>
        <w:tc>
          <w:tcPr>
            <w:tcW w:w="800" w:type="dxa"/>
            <w:shd w:val="clear" w:color="auto" w:fill="auto"/>
            <w:noWrap/>
            <w:vAlign w:val="center"/>
            <w:hideMark/>
          </w:tcPr>
          <w:p w14:paraId="28CBB863" w14:textId="77777777" w:rsidR="00E854C5" w:rsidRPr="00E854C5" w:rsidRDefault="00E854C5" w:rsidP="00E854C5">
            <w:pPr>
              <w:pStyle w:val="HistoryTable"/>
            </w:pPr>
            <w:r w:rsidRPr="00E854C5">
              <w:t>PT6</w:t>
            </w:r>
          </w:p>
        </w:tc>
        <w:tc>
          <w:tcPr>
            <w:tcW w:w="600" w:type="dxa"/>
            <w:shd w:val="clear" w:color="auto" w:fill="auto"/>
            <w:noWrap/>
            <w:vAlign w:val="center"/>
            <w:hideMark/>
          </w:tcPr>
          <w:p w14:paraId="2A6D67BC" w14:textId="77777777" w:rsidR="00E854C5" w:rsidRPr="00E854C5" w:rsidRDefault="00E854C5" w:rsidP="00E854C5">
            <w:pPr>
              <w:pStyle w:val="HistoryTable"/>
            </w:pPr>
            <w:r w:rsidRPr="00E854C5">
              <w:t>#37</w:t>
            </w:r>
          </w:p>
        </w:tc>
        <w:tc>
          <w:tcPr>
            <w:tcW w:w="1460" w:type="dxa"/>
            <w:shd w:val="clear" w:color="auto" w:fill="auto"/>
            <w:hideMark/>
          </w:tcPr>
          <w:p w14:paraId="423172DC" w14:textId="77777777" w:rsidR="00E854C5" w:rsidRPr="00E854C5" w:rsidRDefault="00E854C5" w:rsidP="00E854C5">
            <w:pPr>
              <w:pStyle w:val="HistoryTable"/>
              <w:rPr>
                <w:b/>
                <w:bCs/>
              </w:rPr>
            </w:pPr>
            <w:r w:rsidRPr="00E854C5">
              <w:rPr>
                <w:b/>
                <w:bCs/>
              </w:rPr>
              <w:t>(2)f</w:t>
            </w:r>
          </w:p>
        </w:tc>
        <w:tc>
          <w:tcPr>
            <w:tcW w:w="5449" w:type="dxa"/>
            <w:shd w:val="clear" w:color="000000" w:fill="FFFFFF"/>
            <w:vAlign w:val="center"/>
            <w:hideMark/>
          </w:tcPr>
          <w:p w14:paraId="7E103A69" w14:textId="77777777" w:rsidR="00E854C5" w:rsidRPr="00E854C5" w:rsidRDefault="00E854C5" w:rsidP="00E854C5">
            <w:pPr>
              <w:pStyle w:val="HistoryTable"/>
            </w:pPr>
            <w:r w:rsidRPr="00E854C5">
              <w:t>Preservatives for products during storage</w:t>
            </w:r>
          </w:p>
        </w:tc>
      </w:tr>
      <w:tr w:rsidR="00E854C5" w:rsidRPr="00E854C5" w14:paraId="515D9F4A" w14:textId="77777777" w:rsidTr="0087212A">
        <w:trPr>
          <w:trHeight w:val="276"/>
        </w:trPr>
        <w:tc>
          <w:tcPr>
            <w:tcW w:w="800" w:type="dxa"/>
            <w:shd w:val="clear" w:color="auto" w:fill="auto"/>
            <w:noWrap/>
            <w:vAlign w:val="center"/>
            <w:hideMark/>
          </w:tcPr>
          <w:p w14:paraId="713BFDF2" w14:textId="77777777" w:rsidR="00E854C5" w:rsidRPr="00E854C5" w:rsidRDefault="00E854C5" w:rsidP="00E854C5">
            <w:pPr>
              <w:pStyle w:val="HistoryTable"/>
            </w:pPr>
            <w:r w:rsidRPr="00E854C5">
              <w:lastRenderedPageBreak/>
              <w:t>PT7</w:t>
            </w:r>
          </w:p>
        </w:tc>
        <w:tc>
          <w:tcPr>
            <w:tcW w:w="600" w:type="dxa"/>
            <w:shd w:val="clear" w:color="auto" w:fill="auto"/>
            <w:noWrap/>
            <w:vAlign w:val="center"/>
            <w:hideMark/>
          </w:tcPr>
          <w:p w14:paraId="258A1AC3" w14:textId="77777777" w:rsidR="00E854C5" w:rsidRPr="00E854C5" w:rsidRDefault="00E854C5" w:rsidP="00E854C5">
            <w:pPr>
              <w:pStyle w:val="HistoryTable"/>
            </w:pPr>
            <w:r w:rsidRPr="00E854C5">
              <w:t>#38</w:t>
            </w:r>
          </w:p>
        </w:tc>
        <w:tc>
          <w:tcPr>
            <w:tcW w:w="1460" w:type="dxa"/>
            <w:shd w:val="clear" w:color="auto" w:fill="auto"/>
            <w:hideMark/>
          </w:tcPr>
          <w:p w14:paraId="3E316968" w14:textId="77777777" w:rsidR="00E854C5" w:rsidRPr="00E854C5" w:rsidRDefault="00E854C5" w:rsidP="00E854C5">
            <w:pPr>
              <w:pStyle w:val="HistoryTable"/>
              <w:rPr>
                <w:b/>
                <w:bCs/>
              </w:rPr>
            </w:pPr>
            <w:r w:rsidRPr="00E854C5">
              <w:rPr>
                <w:b/>
                <w:bCs/>
              </w:rPr>
              <w:t>(2)f</w:t>
            </w:r>
          </w:p>
        </w:tc>
        <w:tc>
          <w:tcPr>
            <w:tcW w:w="5449" w:type="dxa"/>
            <w:shd w:val="clear" w:color="000000" w:fill="FFFFFF"/>
            <w:vAlign w:val="center"/>
            <w:hideMark/>
          </w:tcPr>
          <w:p w14:paraId="08A587F6" w14:textId="77777777" w:rsidR="00E854C5" w:rsidRPr="00E854C5" w:rsidRDefault="00E854C5" w:rsidP="00E854C5">
            <w:pPr>
              <w:pStyle w:val="HistoryTable"/>
            </w:pPr>
            <w:r w:rsidRPr="00E854C5">
              <w:t>Film preservatives</w:t>
            </w:r>
          </w:p>
        </w:tc>
      </w:tr>
      <w:tr w:rsidR="00E854C5" w:rsidRPr="00E854C5" w14:paraId="36A7E1AC" w14:textId="77777777" w:rsidTr="0087212A">
        <w:trPr>
          <w:trHeight w:val="276"/>
        </w:trPr>
        <w:tc>
          <w:tcPr>
            <w:tcW w:w="800" w:type="dxa"/>
            <w:shd w:val="clear" w:color="auto" w:fill="auto"/>
            <w:noWrap/>
            <w:vAlign w:val="center"/>
            <w:hideMark/>
          </w:tcPr>
          <w:p w14:paraId="0FB4B932" w14:textId="77777777" w:rsidR="00E854C5" w:rsidRPr="00E854C5" w:rsidRDefault="00E854C5" w:rsidP="00E854C5">
            <w:pPr>
              <w:pStyle w:val="HistoryTable"/>
            </w:pPr>
            <w:r w:rsidRPr="00E854C5">
              <w:t>PT8</w:t>
            </w:r>
          </w:p>
        </w:tc>
        <w:tc>
          <w:tcPr>
            <w:tcW w:w="600" w:type="dxa"/>
            <w:shd w:val="clear" w:color="auto" w:fill="auto"/>
            <w:noWrap/>
            <w:vAlign w:val="center"/>
            <w:hideMark/>
          </w:tcPr>
          <w:p w14:paraId="23316871" w14:textId="77777777" w:rsidR="00E854C5" w:rsidRPr="00E854C5" w:rsidRDefault="00E854C5" w:rsidP="00E854C5">
            <w:pPr>
              <w:pStyle w:val="HistoryTable"/>
            </w:pPr>
            <w:r w:rsidRPr="00E854C5">
              <w:t>#39</w:t>
            </w:r>
          </w:p>
        </w:tc>
        <w:tc>
          <w:tcPr>
            <w:tcW w:w="1460" w:type="dxa"/>
            <w:shd w:val="clear" w:color="auto" w:fill="auto"/>
            <w:hideMark/>
          </w:tcPr>
          <w:p w14:paraId="39807026" w14:textId="77777777" w:rsidR="00E854C5" w:rsidRPr="00E854C5" w:rsidRDefault="00E854C5" w:rsidP="00E854C5">
            <w:pPr>
              <w:pStyle w:val="HistoryTable"/>
              <w:rPr>
                <w:b/>
                <w:bCs/>
              </w:rPr>
            </w:pPr>
            <w:r w:rsidRPr="00E854C5">
              <w:rPr>
                <w:b/>
                <w:bCs/>
              </w:rPr>
              <w:t>(2)f, (3)f</w:t>
            </w:r>
          </w:p>
        </w:tc>
        <w:tc>
          <w:tcPr>
            <w:tcW w:w="5449" w:type="dxa"/>
            <w:shd w:val="clear" w:color="000000" w:fill="FFFFFF"/>
            <w:vAlign w:val="center"/>
            <w:hideMark/>
          </w:tcPr>
          <w:p w14:paraId="0F5B2505" w14:textId="77777777" w:rsidR="00E854C5" w:rsidRPr="00E854C5" w:rsidRDefault="00E854C5" w:rsidP="00E854C5">
            <w:pPr>
              <w:pStyle w:val="HistoryTable"/>
            </w:pPr>
            <w:r w:rsidRPr="00E854C5">
              <w:t>Wood preservatives</w:t>
            </w:r>
          </w:p>
        </w:tc>
      </w:tr>
      <w:tr w:rsidR="00E854C5" w:rsidRPr="00E854C5" w14:paraId="12703CB7" w14:textId="77777777" w:rsidTr="0087212A">
        <w:trPr>
          <w:trHeight w:val="552"/>
        </w:trPr>
        <w:tc>
          <w:tcPr>
            <w:tcW w:w="800" w:type="dxa"/>
            <w:shd w:val="clear" w:color="auto" w:fill="auto"/>
            <w:noWrap/>
            <w:vAlign w:val="center"/>
            <w:hideMark/>
          </w:tcPr>
          <w:p w14:paraId="61894771" w14:textId="77777777" w:rsidR="00E854C5" w:rsidRPr="00E854C5" w:rsidRDefault="00E854C5" w:rsidP="00E854C5">
            <w:pPr>
              <w:pStyle w:val="HistoryTable"/>
            </w:pPr>
            <w:r w:rsidRPr="00E854C5">
              <w:t>PT9</w:t>
            </w:r>
          </w:p>
        </w:tc>
        <w:tc>
          <w:tcPr>
            <w:tcW w:w="600" w:type="dxa"/>
            <w:shd w:val="clear" w:color="auto" w:fill="auto"/>
            <w:noWrap/>
            <w:vAlign w:val="center"/>
            <w:hideMark/>
          </w:tcPr>
          <w:p w14:paraId="6A86B096" w14:textId="77777777" w:rsidR="00E854C5" w:rsidRPr="00E854C5" w:rsidRDefault="00E854C5" w:rsidP="00E854C5">
            <w:pPr>
              <w:pStyle w:val="HistoryTable"/>
            </w:pPr>
            <w:r w:rsidRPr="00E854C5">
              <w:t>#40</w:t>
            </w:r>
          </w:p>
        </w:tc>
        <w:tc>
          <w:tcPr>
            <w:tcW w:w="1460" w:type="dxa"/>
            <w:shd w:val="clear" w:color="auto" w:fill="auto"/>
            <w:hideMark/>
          </w:tcPr>
          <w:p w14:paraId="4C3151F8" w14:textId="77777777" w:rsidR="00E854C5" w:rsidRPr="00E854C5" w:rsidRDefault="00E854C5" w:rsidP="00E854C5">
            <w:pPr>
              <w:pStyle w:val="HistoryTable"/>
              <w:rPr>
                <w:b/>
                <w:bCs/>
              </w:rPr>
            </w:pPr>
            <w:r w:rsidRPr="00E854C5">
              <w:rPr>
                <w:b/>
                <w:bCs/>
              </w:rPr>
              <w:t>(2)f</w:t>
            </w:r>
          </w:p>
        </w:tc>
        <w:tc>
          <w:tcPr>
            <w:tcW w:w="5449" w:type="dxa"/>
            <w:shd w:val="clear" w:color="000000" w:fill="FFFFFF"/>
            <w:vAlign w:val="center"/>
            <w:hideMark/>
          </w:tcPr>
          <w:p w14:paraId="1B226B04" w14:textId="77777777" w:rsidR="00E854C5" w:rsidRPr="00E854C5" w:rsidRDefault="00E854C5" w:rsidP="00E854C5">
            <w:pPr>
              <w:pStyle w:val="HistoryTable"/>
            </w:pPr>
            <w:r w:rsidRPr="00E854C5">
              <w:t>Fibre, leather, rubber and polymerised materials preservatives</w:t>
            </w:r>
          </w:p>
        </w:tc>
      </w:tr>
      <w:tr w:rsidR="00E854C5" w:rsidRPr="00E854C5" w14:paraId="60FC5D46" w14:textId="77777777" w:rsidTr="0087212A">
        <w:trPr>
          <w:trHeight w:val="276"/>
        </w:trPr>
        <w:tc>
          <w:tcPr>
            <w:tcW w:w="800" w:type="dxa"/>
            <w:shd w:val="clear" w:color="auto" w:fill="auto"/>
            <w:noWrap/>
            <w:vAlign w:val="center"/>
            <w:hideMark/>
          </w:tcPr>
          <w:p w14:paraId="76D5FE29" w14:textId="77777777" w:rsidR="00E854C5" w:rsidRPr="00E854C5" w:rsidRDefault="00E854C5" w:rsidP="00E854C5">
            <w:pPr>
              <w:pStyle w:val="HistoryTable"/>
            </w:pPr>
            <w:r w:rsidRPr="00E854C5">
              <w:t>PT10</w:t>
            </w:r>
          </w:p>
        </w:tc>
        <w:tc>
          <w:tcPr>
            <w:tcW w:w="600" w:type="dxa"/>
            <w:shd w:val="clear" w:color="auto" w:fill="auto"/>
            <w:noWrap/>
            <w:vAlign w:val="center"/>
            <w:hideMark/>
          </w:tcPr>
          <w:p w14:paraId="0A846841" w14:textId="77777777" w:rsidR="00E854C5" w:rsidRPr="00E854C5" w:rsidRDefault="00E854C5" w:rsidP="00E854C5">
            <w:pPr>
              <w:pStyle w:val="HistoryTable"/>
            </w:pPr>
            <w:r w:rsidRPr="00E854C5">
              <w:t>#41</w:t>
            </w:r>
          </w:p>
        </w:tc>
        <w:tc>
          <w:tcPr>
            <w:tcW w:w="1460" w:type="dxa"/>
            <w:shd w:val="clear" w:color="auto" w:fill="auto"/>
            <w:hideMark/>
          </w:tcPr>
          <w:p w14:paraId="14A034BF" w14:textId="77777777" w:rsidR="00E854C5" w:rsidRPr="00E854C5" w:rsidRDefault="00E854C5" w:rsidP="00E854C5">
            <w:pPr>
              <w:pStyle w:val="HistoryTable"/>
              <w:rPr>
                <w:b/>
                <w:bCs/>
              </w:rPr>
            </w:pPr>
            <w:r w:rsidRPr="00E854C5">
              <w:rPr>
                <w:b/>
                <w:bCs/>
              </w:rPr>
              <w:t>(2)f</w:t>
            </w:r>
          </w:p>
        </w:tc>
        <w:tc>
          <w:tcPr>
            <w:tcW w:w="5449" w:type="dxa"/>
            <w:shd w:val="clear" w:color="000000" w:fill="FFFFFF"/>
            <w:vAlign w:val="center"/>
            <w:hideMark/>
          </w:tcPr>
          <w:p w14:paraId="61144087" w14:textId="77777777" w:rsidR="00E854C5" w:rsidRPr="00E854C5" w:rsidRDefault="00E854C5" w:rsidP="00E854C5">
            <w:pPr>
              <w:pStyle w:val="HistoryTable"/>
            </w:pPr>
            <w:r w:rsidRPr="00E854C5">
              <w:t>Construction material preservatives</w:t>
            </w:r>
          </w:p>
        </w:tc>
      </w:tr>
      <w:tr w:rsidR="00E854C5" w:rsidRPr="00E854C5" w14:paraId="35A5C7C1" w14:textId="77777777" w:rsidTr="0087212A">
        <w:trPr>
          <w:trHeight w:val="552"/>
        </w:trPr>
        <w:tc>
          <w:tcPr>
            <w:tcW w:w="800" w:type="dxa"/>
            <w:shd w:val="clear" w:color="auto" w:fill="auto"/>
            <w:noWrap/>
            <w:vAlign w:val="center"/>
            <w:hideMark/>
          </w:tcPr>
          <w:p w14:paraId="4C93254A" w14:textId="77777777" w:rsidR="00E854C5" w:rsidRPr="00E854C5" w:rsidRDefault="00E854C5" w:rsidP="00E854C5">
            <w:pPr>
              <w:pStyle w:val="HistoryTable"/>
            </w:pPr>
            <w:r w:rsidRPr="00E854C5">
              <w:t>PT11</w:t>
            </w:r>
          </w:p>
        </w:tc>
        <w:tc>
          <w:tcPr>
            <w:tcW w:w="600" w:type="dxa"/>
            <w:shd w:val="clear" w:color="auto" w:fill="auto"/>
            <w:noWrap/>
            <w:vAlign w:val="center"/>
            <w:hideMark/>
          </w:tcPr>
          <w:p w14:paraId="440A6013" w14:textId="77777777" w:rsidR="00E854C5" w:rsidRPr="00E854C5" w:rsidRDefault="00E854C5" w:rsidP="00E854C5">
            <w:pPr>
              <w:pStyle w:val="HistoryTable"/>
            </w:pPr>
            <w:r w:rsidRPr="00E854C5">
              <w:t>#42</w:t>
            </w:r>
          </w:p>
        </w:tc>
        <w:tc>
          <w:tcPr>
            <w:tcW w:w="1460" w:type="dxa"/>
            <w:shd w:val="clear" w:color="auto" w:fill="auto"/>
            <w:hideMark/>
          </w:tcPr>
          <w:p w14:paraId="5D148AB9" w14:textId="77777777" w:rsidR="00E854C5" w:rsidRPr="00E854C5" w:rsidRDefault="00E854C5" w:rsidP="00E854C5">
            <w:pPr>
              <w:pStyle w:val="HistoryTable"/>
              <w:rPr>
                <w:b/>
                <w:bCs/>
              </w:rPr>
            </w:pPr>
            <w:r w:rsidRPr="00E854C5">
              <w:rPr>
                <w:b/>
                <w:bCs/>
              </w:rPr>
              <w:t>(2)b, (2)g</w:t>
            </w:r>
          </w:p>
        </w:tc>
        <w:tc>
          <w:tcPr>
            <w:tcW w:w="5449" w:type="dxa"/>
            <w:shd w:val="clear" w:color="000000" w:fill="FFFFFF"/>
            <w:vAlign w:val="center"/>
            <w:hideMark/>
          </w:tcPr>
          <w:p w14:paraId="781AC288" w14:textId="77777777" w:rsidR="00E854C5" w:rsidRPr="00E854C5" w:rsidRDefault="00E854C5" w:rsidP="00E854C5">
            <w:pPr>
              <w:pStyle w:val="HistoryTable"/>
            </w:pPr>
            <w:r w:rsidRPr="00E854C5">
              <w:t>Preservatives for liquid-cooling and processing systems</w:t>
            </w:r>
          </w:p>
        </w:tc>
      </w:tr>
      <w:tr w:rsidR="00E854C5" w:rsidRPr="00E854C5" w14:paraId="509D40F5" w14:textId="77777777" w:rsidTr="0087212A">
        <w:trPr>
          <w:trHeight w:val="276"/>
        </w:trPr>
        <w:tc>
          <w:tcPr>
            <w:tcW w:w="800" w:type="dxa"/>
            <w:shd w:val="clear" w:color="auto" w:fill="auto"/>
            <w:noWrap/>
            <w:vAlign w:val="center"/>
            <w:hideMark/>
          </w:tcPr>
          <w:p w14:paraId="33ED03C4" w14:textId="77777777" w:rsidR="00E854C5" w:rsidRPr="00E854C5" w:rsidRDefault="00E854C5" w:rsidP="00E854C5">
            <w:pPr>
              <w:pStyle w:val="HistoryTable"/>
            </w:pPr>
            <w:r w:rsidRPr="00E854C5">
              <w:t>PT12</w:t>
            </w:r>
          </w:p>
        </w:tc>
        <w:tc>
          <w:tcPr>
            <w:tcW w:w="600" w:type="dxa"/>
            <w:shd w:val="clear" w:color="auto" w:fill="auto"/>
            <w:noWrap/>
            <w:vAlign w:val="center"/>
            <w:hideMark/>
          </w:tcPr>
          <w:p w14:paraId="26B64913" w14:textId="77777777" w:rsidR="00E854C5" w:rsidRPr="00E854C5" w:rsidRDefault="00E854C5" w:rsidP="00E854C5">
            <w:pPr>
              <w:pStyle w:val="HistoryTable"/>
            </w:pPr>
            <w:r w:rsidRPr="00E854C5">
              <w:t>#43</w:t>
            </w:r>
          </w:p>
        </w:tc>
        <w:tc>
          <w:tcPr>
            <w:tcW w:w="1460" w:type="dxa"/>
            <w:shd w:val="clear" w:color="auto" w:fill="auto"/>
            <w:hideMark/>
          </w:tcPr>
          <w:p w14:paraId="3A1E33B2" w14:textId="77777777" w:rsidR="00E854C5" w:rsidRPr="00E854C5" w:rsidRDefault="00E854C5" w:rsidP="00E854C5">
            <w:pPr>
              <w:pStyle w:val="HistoryTable"/>
              <w:rPr>
                <w:b/>
                <w:bCs/>
              </w:rPr>
            </w:pPr>
            <w:r w:rsidRPr="00E854C5">
              <w:rPr>
                <w:b/>
                <w:bCs/>
              </w:rPr>
              <w:t>(2)b, (2)g</w:t>
            </w:r>
          </w:p>
        </w:tc>
        <w:tc>
          <w:tcPr>
            <w:tcW w:w="5449" w:type="dxa"/>
            <w:shd w:val="clear" w:color="000000" w:fill="FFFFFF"/>
            <w:vAlign w:val="center"/>
            <w:hideMark/>
          </w:tcPr>
          <w:p w14:paraId="33B20CAE" w14:textId="77777777" w:rsidR="00E854C5" w:rsidRPr="00E854C5" w:rsidRDefault="00E854C5" w:rsidP="00E854C5">
            <w:pPr>
              <w:pStyle w:val="HistoryTable"/>
            </w:pPr>
            <w:r w:rsidRPr="00E854C5">
              <w:t>Slimicides</w:t>
            </w:r>
          </w:p>
        </w:tc>
      </w:tr>
      <w:tr w:rsidR="00E854C5" w:rsidRPr="00E854C5" w14:paraId="694FE824" w14:textId="77777777" w:rsidTr="0087212A">
        <w:trPr>
          <w:trHeight w:val="276"/>
        </w:trPr>
        <w:tc>
          <w:tcPr>
            <w:tcW w:w="800" w:type="dxa"/>
            <w:shd w:val="clear" w:color="auto" w:fill="auto"/>
            <w:noWrap/>
            <w:vAlign w:val="center"/>
            <w:hideMark/>
          </w:tcPr>
          <w:p w14:paraId="3BD1D75D" w14:textId="77777777" w:rsidR="00E854C5" w:rsidRPr="00E854C5" w:rsidRDefault="00E854C5" w:rsidP="00E854C5">
            <w:pPr>
              <w:pStyle w:val="HistoryTable"/>
            </w:pPr>
            <w:r w:rsidRPr="00E854C5">
              <w:t>PT13</w:t>
            </w:r>
          </w:p>
        </w:tc>
        <w:tc>
          <w:tcPr>
            <w:tcW w:w="600" w:type="dxa"/>
            <w:shd w:val="clear" w:color="auto" w:fill="auto"/>
            <w:noWrap/>
            <w:vAlign w:val="center"/>
            <w:hideMark/>
          </w:tcPr>
          <w:p w14:paraId="7C3FD4E3" w14:textId="77777777" w:rsidR="00E854C5" w:rsidRPr="00E854C5" w:rsidRDefault="00E854C5" w:rsidP="00E854C5">
            <w:pPr>
              <w:pStyle w:val="HistoryTable"/>
            </w:pPr>
            <w:r w:rsidRPr="00E854C5">
              <w:t>#44</w:t>
            </w:r>
          </w:p>
        </w:tc>
        <w:tc>
          <w:tcPr>
            <w:tcW w:w="1460" w:type="dxa"/>
            <w:shd w:val="clear" w:color="auto" w:fill="auto"/>
            <w:hideMark/>
          </w:tcPr>
          <w:p w14:paraId="37D6FAF5" w14:textId="77777777" w:rsidR="00E854C5" w:rsidRPr="00E854C5" w:rsidRDefault="00E854C5" w:rsidP="00E854C5">
            <w:pPr>
              <w:pStyle w:val="HistoryTable"/>
              <w:rPr>
                <w:b/>
                <w:bCs/>
              </w:rPr>
            </w:pPr>
            <w:r w:rsidRPr="00E854C5">
              <w:rPr>
                <w:b/>
                <w:bCs/>
              </w:rPr>
              <w:t>(2)g</w:t>
            </w:r>
          </w:p>
        </w:tc>
        <w:tc>
          <w:tcPr>
            <w:tcW w:w="5449" w:type="dxa"/>
            <w:shd w:val="clear" w:color="000000" w:fill="FFFFFF"/>
            <w:vAlign w:val="center"/>
            <w:hideMark/>
          </w:tcPr>
          <w:p w14:paraId="4D665176" w14:textId="77777777" w:rsidR="00E854C5" w:rsidRPr="00E854C5" w:rsidRDefault="00E854C5" w:rsidP="00E854C5">
            <w:pPr>
              <w:pStyle w:val="HistoryTable"/>
            </w:pPr>
            <w:r w:rsidRPr="00E854C5">
              <w:t>Working or cutting fluid preservatives</w:t>
            </w:r>
          </w:p>
        </w:tc>
      </w:tr>
      <w:tr w:rsidR="00E854C5" w:rsidRPr="00E854C5" w14:paraId="5A8EEB60" w14:textId="77777777" w:rsidTr="0087212A">
        <w:trPr>
          <w:trHeight w:val="276"/>
        </w:trPr>
        <w:tc>
          <w:tcPr>
            <w:tcW w:w="800" w:type="dxa"/>
            <w:shd w:val="clear" w:color="auto" w:fill="auto"/>
            <w:noWrap/>
            <w:vAlign w:val="center"/>
            <w:hideMark/>
          </w:tcPr>
          <w:p w14:paraId="3989A9D6" w14:textId="77777777" w:rsidR="00E854C5" w:rsidRPr="00E854C5" w:rsidRDefault="00E854C5" w:rsidP="00E854C5">
            <w:pPr>
              <w:pStyle w:val="HistoryTable"/>
            </w:pPr>
            <w:r w:rsidRPr="00E854C5">
              <w:t>PT14</w:t>
            </w:r>
          </w:p>
        </w:tc>
        <w:tc>
          <w:tcPr>
            <w:tcW w:w="600" w:type="dxa"/>
            <w:shd w:val="clear" w:color="auto" w:fill="auto"/>
            <w:noWrap/>
            <w:vAlign w:val="center"/>
            <w:hideMark/>
          </w:tcPr>
          <w:p w14:paraId="71453AC6" w14:textId="77777777" w:rsidR="00E854C5" w:rsidRPr="00E854C5" w:rsidRDefault="00E854C5" w:rsidP="00E854C5">
            <w:pPr>
              <w:pStyle w:val="HistoryTable"/>
            </w:pPr>
            <w:r w:rsidRPr="00E854C5">
              <w:t>#45</w:t>
            </w:r>
          </w:p>
        </w:tc>
        <w:tc>
          <w:tcPr>
            <w:tcW w:w="1460" w:type="dxa"/>
            <w:shd w:val="clear" w:color="auto" w:fill="auto"/>
            <w:hideMark/>
          </w:tcPr>
          <w:p w14:paraId="07ECBB70"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1FDF74C2" w14:textId="77777777" w:rsidR="00E854C5" w:rsidRPr="00E854C5" w:rsidRDefault="00E854C5" w:rsidP="00E854C5">
            <w:pPr>
              <w:pStyle w:val="HistoryTable"/>
            </w:pPr>
            <w:r w:rsidRPr="00E854C5">
              <w:t>Rodenticides - Use as bait</w:t>
            </w:r>
          </w:p>
        </w:tc>
      </w:tr>
      <w:tr w:rsidR="00E854C5" w:rsidRPr="00E854C5" w14:paraId="7EEB92FC" w14:textId="77777777" w:rsidTr="0087212A">
        <w:trPr>
          <w:trHeight w:val="276"/>
        </w:trPr>
        <w:tc>
          <w:tcPr>
            <w:tcW w:w="800" w:type="dxa"/>
            <w:shd w:val="clear" w:color="auto" w:fill="auto"/>
            <w:noWrap/>
            <w:vAlign w:val="center"/>
            <w:hideMark/>
          </w:tcPr>
          <w:p w14:paraId="37E8A4DB" w14:textId="77777777" w:rsidR="00E854C5" w:rsidRPr="00E854C5" w:rsidRDefault="00E854C5" w:rsidP="00E854C5">
            <w:pPr>
              <w:pStyle w:val="HistoryTable"/>
            </w:pPr>
            <w:r w:rsidRPr="00E854C5">
              <w:t>PT14</w:t>
            </w:r>
          </w:p>
        </w:tc>
        <w:tc>
          <w:tcPr>
            <w:tcW w:w="600" w:type="dxa"/>
            <w:shd w:val="clear" w:color="auto" w:fill="auto"/>
            <w:noWrap/>
            <w:vAlign w:val="center"/>
            <w:hideMark/>
          </w:tcPr>
          <w:p w14:paraId="73093D5F" w14:textId="77777777" w:rsidR="00E854C5" w:rsidRPr="00E854C5" w:rsidRDefault="00E854C5" w:rsidP="00E854C5">
            <w:pPr>
              <w:pStyle w:val="HistoryTable"/>
            </w:pPr>
            <w:r w:rsidRPr="00E854C5">
              <w:t>#46</w:t>
            </w:r>
          </w:p>
        </w:tc>
        <w:tc>
          <w:tcPr>
            <w:tcW w:w="1460" w:type="dxa"/>
            <w:shd w:val="clear" w:color="auto" w:fill="auto"/>
            <w:hideMark/>
          </w:tcPr>
          <w:p w14:paraId="44846138"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259276FD" w14:textId="77777777" w:rsidR="00E854C5" w:rsidRPr="00E854C5" w:rsidRDefault="00E854C5" w:rsidP="00E854C5">
            <w:pPr>
              <w:pStyle w:val="HistoryTable"/>
            </w:pPr>
            <w:r w:rsidRPr="00E854C5">
              <w:t>Rodenticides - direct kill</w:t>
            </w:r>
          </w:p>
        </w:tc>
      </w:tr>
      <w:tr w:rsidR="00E854C5" w:rsidRPr="00E854C5" w14:paraId="65648763" w14:textId="77777777" w:rsidTr="0087212A">
        <w:trPr>
          <w:trHeight w:val="276"/>
        </w:trPr>
        <w:tc>
          <w:tcPr>
            <w:tcW w:w="800" w:type="dxa"/>
            <w:shd w:val="clear" w:color="auto" w:fill="auto"/>
            <w:noWrap/>
            <w:vAlign w:val="center"/>
            <w:hideMark/>
          </w:tcPr>
          <w:p w14:paraId="2E72CDE7" w14:textId="77777777" w:rsidR="00E854C5" w:rsidRPr="00E854C5" w:rsidRDefault="00E854C5" w:rsidP="00E854C5">
            <w:pPr>
              <w:pStyle w:val="HistoryTable"/>
            </w:pPr>
            <w:r w:rsidRPr="00E854C5">
              <w:t>PT14</w:t>
            </w:r>
          </w:p>
        </w:tc>
        <w:tc>
          <w:tcPr>
            <w:tcW w:w="600" w:type="dxa"/>
            <w:shd w:val="clear" w:color="auto" w:fill="auto"/>
            <w:noWrap/>
            <w:vAlign w:val="center"/>
            <w:hideMark/>
          </w:tcPr>
          <w:p w14:paraId="0551D03E" w14:textId="77777777" w:rsidR="00E854C5" w:rsidRPr="00E854C5" w:rsidRDefault="00E854C5" w:rsidP="00E854C5">
            <w:pPr>
              <w:pStyle w:val="HistoryTable"/>
            </w:pPr>
            <w:r w:rsidRPr="00E854C5">
              <w:t>#47</w:t>
            </w:r>
          </w:p>
        </w:tc>
        <w:tc>
          <w:tcPr>
            <w:tcW w:w="1460" w:type="dxa"/>
            <w:shd w:val="clear" w:color="auto" w:fill="auto"/>
            <w:hideMark/>
          </w:tcPr>
          <w:p w14:paraId="2EAE8C47"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79484AA5" w14:textId="77777777" w:rsidR="00E854C5" w:rsidRPr="00E854C5" w:rsidRDefault="00E854C5" w:rsidP="00E854C5">
            <w:pPr>
              <w:pStyle w:val="HistoryTable"/>
            </w:pPr>
            <w:r w:rsidRPr="00E854C5">
              <w:t>Other PT14</w:t>
            </w:r>
          </w:p>
        </w:tc>
      </w:tr>
      <w:tr w:rsidR="00E854C5" w:rsidRPr="00E854C5" w14:paraId="5AECF8E9" w14:textId="77777777" w:rsidTr="0087212A">
        <w:trPr>
          <w:trHeight w:val="276"/>
        </w:trPr>
        <w:tc>
          <w:tcPr>
            <w:tcW w:w="800" w:type="dxa"/>
            <w:shd w:val="clear" w:color="auto" w:fill="auto"/>
            <w:noWrap/>
            <w:vAlign w:val="center"/>
            <w:hideMark/>
          </w:tcPr>
          <w:p w14:paraId="5CAACD16" w14:textId="77777777" w:rsidR="00E854C5" w:rsidRPr="00E854C5" w:rsidRDefault="00E854C5" w:rsidP="00E854C5">
            <w:pPr>
              <w:pStyle w:val="HistoryTable"/>
            </w:pPr>
            <w:r w:rsidRPr="00E854C5">
              <w:t>PT15</w:t>
            </w:r>
          </w:p>
        </w:tc>
        <w:tc>
          <w:tcPr>
            <w:tcW w:w="600" w:type="dxa"/>
            <w:shd w:val="clear" w:color="auto" w:fill="auto"/>
            <w:noWrap/>
            <w:vAlign w:val="center"/>
            <w:hideMark/>
          </w:tcPr>
          <w:p w14:paraId="1F8AA2F4" w14:textId="77777777" w:rsidR="00E854C5" w:rsidRPr="00E854C5" w:rsidRDefault="00E854C5" w:rsidP="00E854C5">
            <w:pPr>
              <w:pStyle w:val="HistoryTable"/>
            </w:pPr>
            <w:r w:rsidRPr="00E854C5">
              <w:t>#48</w:t>
            </w:r>
          </w:p>
        </w:tc>
        <w:tc>
          <w:tcPr>
            <w:tcW w:w="1460" w:type="dxa"/>
            <w:shd w:val="clear" w:color="auto" w:fill="auto"/>
            <w:hideMark/>
          </w:tcPr>
          <w:p w14:paraId="249A3BF1"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4BFA4319" w14:textId="77777777" w:rsidR="00E854C5" w:rsidRPr="00E854C5" w:rsidRDefault="00E854C5" w:rsidP="00E854C5">
            <w:pPr>
              <w:pStyle w:val="HistoryTable"/>
            </w:pPr>
            <w:r w:rsidRPr="00E854C5">
              <w:t>Avicides - Use as bait</w:t>
            </w:r>
          </w:p>
        </w:tc>
      </w:tr>
      <w:tr w:rsidR="00E854C5" w:rsidRPr="00E854C5" w14:paraId="793EBF42" w14:textId="77777777" w:rsidTr="0087212A">
        <w:trPr>
          <w:trHeight w:val="276"/>
        </w:trPr>
        <w:tc>
          <w:tcPr>
            <w:tcW w:w="800" w:type="dxa"/>
            <w:shd w:val="clear" w:color="auto" w:fill="auto"/>
            <w:noWrap/>
            <w:vAlign w:val="center"/>
            <w:hideMark/>
          </w:tcPr>
          <w:p w14:paraId="5015F2E3" w14:textId="77777777" w:rsidR="00E854C5" w:rsidRPr="00E854C5" w:rsidRDefault="00E854C5" w:rsidP="00E854C5">
            <w:pPr>
              <w:pStyle w:val="HistoryTable"/>
            </w:pPr>
            <w:r w:rsidRPr="00E854C5">
              <w:t>PT15</w:t>
            </w:r>
          </w:p>
        </w:tc>
        <w:tc>
          <w:tcPr>
            <w:tcW w:w="600" w:type="dxa"/>
            <w:shd w:val="clear" w:color="auto" w:fill="auto"/>
            <w:noWrap/>
            <w:vAlign w:val="center"/>
            <w:hideMark/>
          </w:tcPr>
          <w:p w14:paraId="7513CC0C" w14:textId="77777777" w:rsidR="00E854C5" w:rsidRPr="00E854C5" w:rsidRDefault="00E854C5" w:rsidP="00E854C5">
            <w:pPr>
              <w:pStyle w:val="HistoryTable"/>
            </w:pPr>
            <w:r w:rsidRPr="00E854C5">
              <w:t>#49</w:t>
            </w:r>
          </w:p>
        </w:tc>
        <w:tc>
          <w:tcPr>
            <w:tcW w:w="1460" w:type="dxa"/>
            <w:shd w:val="clear" w:color="auto" w:fill="auto"/>
            <w:hideMark/>
          </w:tcPr>
          <w:p w14:paraId="1387E38B"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5F3116A6" w14:textId="77777777" w:rsidR="00E854C5" w:rsidRPr="00E854C5" w:rsidRDefault="00E854C5" w:rsidP="00E854C5">
            <w:pPr>
              <w:pStyle w:val="HistoryTable"/>
            </w:pPr>
            <w:r w:rsidRPr="00E854C5">
              <w:t>Avicides - direct kill</w:t>
            </w:r>
          </w:p>
        </w:tc>
      </w:tr>
      <w:tr w:rsidR="00E854C5" w:rsidRPr="00E854C5" w14:paraId="09532978" w14:textId="77777777" w:rsidTr="0087212A">
        <w:trPr>
          <w:trHeight w:val="276"/>
        </w:trPr>
        <w:tc>
          <w:tcPr>
            <w:tcW w:w="800" w:type="dxa"/>
            <w:shd w:val="clear" w:color="auto" w:fill="auto"/>
            <w:noWrap/>
            <w:vAlign w:val="center"/>
            <w:hideMark/>
          </w:tcPr>
          <w:p w14:paraId="773C48D3" w14:textId="77777777" w:rsidR="00E854C5" w:rsidRPr="00E854C5" w:rsidRDefault="00E854C5" w:rsidP="00E854C5">
            <w:pPr>
              <w:pStyle w:val="HistoryTable"/>
            </w:pPr>
            <w:r w:rsidRPr="00E854C5">
              <w:t>PT15</w:t>
            </w:r>
          </w:p>
        </w:tc>
        <w:tc>
          <w:tcPr>
            <w:tcW w:w="600" w:type="dxa"/>
            <w:shd w:val="clear" w:color="auto" w:fill="auto"/>
            <w:noWrap/>
            <w:vAlign w:val="center"/>
            <w:hideMark/>
          </w:tcPr>
          <w:p w14:paraId="5EC2BE9C" w14:textId="77777777" w:rsidR="00E854C5" w:rsidRPr="00E854C5" w:rsidRDefault="00E854C5" w:rsidP="00E854C5">
            <w:pPr>
              <w:pStyle w:val="HistoryTable"/>
            </w:pPr>
            <w:r w:rsidRPr="00E854C5">
              <w:t>#50</w:t>
            </w:r>
          </w:p>
        </w:tc>
        <w:tc>
          <w:tcPr>
            <w:tcW w:w="1460" w:type="dxa"/>
            <w:shd w:val="clear" w:color="auto" w:fill="auto"/>
            <w:hideMark/>
          </w:tcPr>
          <w:p w14:paraId="70175F87"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4BB8BDB8" w14:textId="77777777" w:rsidR="00E854C5" w:rsidRPr="00E854C5" w:rsidRDefault="00E854C5" w:rsidP="00E854C5">
            <w:pPr>
              <w:pStyle w:val="HistoryTable"/>
            </w:pPr>
            <w:r w:rsidRPr="00E854C5">
              <w:t>Other PT15</w:t>
            </w:r>
          </w:p>
        </w:tc>
      </w:tr>
      <w:tr w:rsidR="00E854C5" w:rsidRPr="00E854C5" w14:paraId="589A8B51" w14:textId="77777777" w:rsidTr="0087212A">
        <w:trPr>
          <w:trHeight w:val="552"/>
        </w:trPr>
        <w:tc>
          <w:tcPr>
            <w:tcW w:w="800" w:type="dxa"/>
            <w:shd w:val="clear" w:color="auto" w:fill="auto"/>
            <w:noWrap/>
            <w:vAlign w:val="center"/>
            <w:hideMark/>
          </w:tcPr>
          <w:p w14:paraId="566A8A1A" w14:textId="77777777" w:rsidR="00E854C5" w:rsidRPr="00E854C5" w:rsidRDefault="00E854C5" w:rsidP="00E854C5">
            <w:pPr>
              <w:pStyle w:val="HistoryTable"/>
            </w:pPr>
            <w:r w:rsidRPr="00E854C5">
              <w:t>PT16</w:t>
            </w:r>
          </w:p>
        </w:tc>
        <w:tc>
          <w:tcPr>
            <w:tcW w:w="600" w:type="dxa"/>
            <w:shd w:val="clear" w:color="auto" w:fill="auto"/>
            <w:noWrap/>
            <w:vAlign w:val="center"/>
            <w:hideMark/>
          </w:tcPr>
          <w:p w14:paraId="5040F969" w14:textId="77777777" w:rsidR="00E854C5" w:rsidRPr="00E854C5" w:rsidRDefault="00E854C5" w:rsidP="00E854C5">
            <w:pPr>
              <w:pStyle w:val="HistoryTable"/>
            </w:pPr>
            <w:r w:rsidRPr="00E854C5">
              <w:t>#51</w:t>
            </w:r>
          </w:p>
        </w:tc>
        <w:tc>
          <w:tcPr>
            <w:tcW w:w="1460" w:type="dxa"/>
            <w:shd w:val="clear" w:color="auto" w:fill="auto"/>
            <w:hideMark/>
          </w:tcPr>
          <w:p w14:paraId="67AD158C"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762084FB" w14:textId="77777777" w:rsidR="00E854C5" w:rsidRPr="00E854C5" w:rsidRDefault="00E854C5" w:rsidP="00E854C5">
            <w:pPr>
              <w:pStyle w:val="HistoryTable"/>
            </w:pPr>
            <w:r w:rsidRPr="00E854C5">
              <w:t>Molluscicides, vermicides and products to control other invertebrates - Use as bait</w:t>
            </w:r>
          </w:p>
        </w:tc>
      </w:tr>
      <w:tr w:rsidR="00E854C5" w:rsidRPr="00E854C5" w14:paraId="0069C4FA" w14:textId="77777777" w:rsidTr="0087212A">
        <w:trPr>
          <w:trHeight w:val="552"/>
        </w:trPr>
        <w:tc>
          <w:tcPr>
            <w:tcW w:w="800" w:type="dxa"/>
            <w:shd w:val="clear" w:color="auto" w:fill="auto"/>
            <w:noWrap/>
            <w:vAlign w:val="center"/>
            <w:hideMark/>
          </w:tcPr>
          <w:p w14:paraId="3BDF7F43" w14:textId="77777777" w:rsidR="00E854C5" w:rsidRPr="00E854C5" w:rsidRDefault="00E854C5" w:rsidP="00E854C5">
            <w:pPr>
              <w:pStyle w:val="HistoryTable"/>
            </w:pPr>
            <w:r w:rsidRPr="00E854C5">
              <w:t>PT16</w:t>
            </w:r>
          </w:p>
        </w:tc>
        <w:tc>
          <w:tcPr>
            <w:tcW w:w="600" w:type="dxa"/>
            <w:shd w:val="clear" w:color="auto" w:fill="auto"/>
            <w:noWrap/>
            <w:vAlign w:val="center"/>
            <w:hideMark/>
          </w:tcPr>
          <w:p w14:paraId="08220935" w14:textId="77777777" w:rsidR="00E854C5" w:rsidRPr="00E854C5" w:rsidRDefault="00E854C5" w:rsidP="00E854C5">
            <w:pPr>
              <w:pStyle w:val="HistoryTable"/>
            </w:pPr>
            <w:r w:rsidRPr="00E854C5">
              <w:t>#52</w:t>
            </w:r>
          </w:p>
        </w:tc>
        <w:tc>
          <w:tcPr>
            <w:tcW w:w="1460" w:type="dxa"/>
            <w:shd w:val="clear" w:color="auto" w:fill="auto"/>
            <w:hideMark/>
          </w:tcPr>
          <w:p w14:paraId="1CC7DDE5"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3A98510A" w14:textId="77777777" w:rsidR="00E854C5" w:rsidRPr="00E854C5" w:rsidRDefault="00E854C5" w:rsidP="00E854C5">
            <w:pPr>
              <w:pStyle w:val="HistoryTable"/>
            </w:pPr>
            <w:r w:rsidRPr="00E854C5">
              <w:t>Molluscicides, vermicides and products to control other invertebrates direct kill</w:t>
            </w:r>
          </w:p>
        </w:tc>
      </w:tr>
      <w:tr w:rsidR="00E854C5" w:rsidRPr="00E854C5" w14:paraId="076029CC" w14:textId="77777777" w:rsidTr="0087212A">
        <w:trPr>
          <w:trHeight w:val="276"/>
        </w:trPr>
        <w:tc>
          <w:tcPr>
            <w:tcW w:w="800" w:type="dxa"/>
            <w:shd w:val="clear" w:color="auto" w:fill="auto"/>
            <w:noWrap/>
            <w:vAlign w:val="center"/>
            <w:hideMark/>
          </w:tcPr>
          <w:p w14:paraId="74B66436" w14:textId="77777777" w:rsidR="00E854C5" w:rsidRPr="00E854C5" w:rsidRDefault="00E854C5" w:rsidP="00E854C5">
            <w:pPr>
              <w:pStyle w:val="HistoryTable"/>
            </w:pPr>
            <w:r w:rsidRPr="00E854C5">
              <w:t>PT16</w:t>
            </w:r>
          </w:p>
        </w:tc>
        <w:tc>
          <w:tcPr>
            <w:tcW w:w="600" w:type="dxa"/>
            <w:shd w:val="clear" w:color="auto" w:fill="auto"/>
            <w:noWrap/>
            <w:vAlign w:val="center"/>
            <w:hideMark/>
          </w:tcPr>
          <w:p w14:paraId="142F7112" w14:textId="77777777" w:rsidR="00E854C5" w:rsidRPr="00E854C5" w:rsidRDefault="00E854C5" w:rsidP="00E854C5">
            <w:pPr>
              <w:pStyle w:val="HistoryTable"/>
            </w:pPr>
            <w:r w:rsidRPr="00E854C5">
              <w:t>#53</w:t>
            </w:r>
          </w:p>
        </w:tc>
        <w:tc>
          <w:tcPr>
            <w:tcW w:w="1460" w:type="dxa"/>
            <w:shd w:val="clear" w:color="auto" w:fill="auto"/>
            <w:hideMark/>
          </w:tcPr>
          <w:p w14:paraId="7B116E5E"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66C3FA24" w14:textId="77777777" w:rsidR="00E854C5" w:rsidRPr="00E854C5" w:rsidRDefault="00E854C5" w:rsidP="00E854C5">
            <w:pPr>
              <w:pStyle w:val="HistoryTable"/>
            </w:pPr>
            <w:r w:rsidRPr="00E854C5">
              <w:t>Other PT16</w:t>
            </w:r>
          </w:p>
        </w:tc>
      </w:tr>
      <w:tr w:rsidR="00E854C5" w:rsidRPr="00E854C5" w14:paraId="4D10F780" w14:textId="77777777" w:rsidTr="0087212A">
        <w:trPr>
          <w:trHeight w:val="276"/>
        </w:trPr>
        <w:tc>
          <w:tcPr>
            <w:tcW w:w="800" w:type="dxa"/>
            <w:shd w:val="clear" w:color="auto" w:fill="auto"/>
            <w:noWrap/>
            <w:vAlign w:val="center"/>
            <w:hideMark/>
          </w:tcPr>
          <w:p w14:paraId="0F302E1C" w14:textId="77777777" w:rsidR="00E854C5" w:rsidRPr="00E854C5" w:rsidRDefault="00E854C5" w:rsidP="00E854C5">
            <w:pPr>
              <w:pStyle w:val="HistoryTable"/>
            </w:pPr>
            <w:r w:rsidRPr="00E854C5">
              <w:t>PT17</w:t>
            </w:r>
          </w:p>
        </w:tc>
        <w:tc>
          <w:tcPr>
            <w:tcW w:w="600" w:type="dxa"/>
            <w:shd w:val="clear" w:color="auto" w:fill="auto"/>
            <w:noWrap/>
            <w:vAlign w:val="center"/>
            <w:hideMark/>
          </w:tcPr>
          <w:p w14:paraId="4665A816" w14:textId="77777777" w:rsidR="00E854C5" w:rsidRPr="00E854C5" w:rsidRDefault="00E854C5" w:rsidP="00E854C5">
            <w:pPr>
              <w:pStyle w:val="HistoryTable"/>
            </w:pPr>
            <w:r w:rsidRPr="00E854C5">
              <w:t>#54</w:t>
            </w:r>
          </w:p>
        </w:tc>
        <w:tc>
          <w:tcPr>
            <w:tcW w:w="1460" w:type="dxa"/>
            <w:shd w:val="clear" w:color="auto" w:fill="auto"/>
            <w:hideMark/>
          </w:tcPr>
          <w:p w14:paraId="44EE2B82"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0007FA10" w14:textId="77777777" w:rsidR="00E854C5" w:rsidRPr="00E854C5" w:rsidRDefault="00E854C5" w:rsidP="00E854C5">
            <w:pPr>
              <w:pStyle w:val="HistoryTable"/>
            </w:pPr>
            <w:r w:rsidRPr="00E854C5">
              <w:t>Piscicides - Use as bait</w:t>
            </w:r>
          </w:p>
        </w:tc>
      </w:tr>
      <w:tr w:rsidR="00E854C5" w:rsidRPr="00E854C5" w14:paraId="4A79BF2A" w14:textId="77777777" w:rsidTr="0087212A">
        <w:trPr>
          <w:trHeight w:val="276"/>
        </w:trPr>
        <w:tc>
          <w:tcPr>
            <w:tcW w:w="800" w:type="dxa"/>
            <w:shd w:val="clear" w:color="auto" w:fill="auto"/>
            <w:noWrap/>
            <w:vAlign w:val="center"/>
            <w:hideMark/>
          </w:tcPr>
          <w:p w14:paraId="1EF3D27A" w14:textId="77777777" w:rsidR="00E854C5" w:rsidRPr="00E854C5" w:rsidRDefault="00E854C5" w:rsidP="00E854C5">
            <w:pPr>
              <w:pStyle w:val="HistoryTable"/>
            </w:pPr>
            <w:r w:rsidRPr="00E854C5">
              <w:t>PT17</w:t>
            </w:r>
          </w:p>
        </w:tc>
        <w:tc>
          <w:tcPr>
            <w:tcW w:w="600" w:type="dxa"/>
            <w:shd w:val="clear" w:color="auto" w:fill="auto"/>
            <w:noWrap/>
            <w:vAlign w:val="center"/>
            <w:hideMark/>
          </w:tcPr>
          <w:p w14:paraId="0ADE65CB" w14:textId="77777777" w:rsidR="00E854C5" w:rsidRPr="00E854C5" w:rsidRDefault="00E854C5" w:rsidP="00E854C5">
            <w:pPr>
              <w:pStyle w:val="HistoryTable"/>
            </w:pPr>
            <w:r w:rsidRPr="00E854C5">
              <w:t>#55</w:t>
            </w:r>
          </w:p>
        </w:tc>
        <w:tc>
          <w:tcPr>
            <w:tcW w:w="1460" w:type="dxa"/>
            <w:shd w:val="clear" w:color="auto" w:fill="auto"/>
            <w:hideMark/>
          </w:tcPr>
          <w:p w14:paraId="10F3DD90"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7687955B" w14:textId="77777777" w:rsidR="00E854C5" w:rsidRPr="00E854C5" w:rsidRDefault="00E854C5" w:rsidP="00E854C5">
            <w:pPr>
              <w:pStyle w:val="HistoryTable"/>
            </w:pPr>
            <w:r w:rsidRPr="00E854C5">
              <w:t>Piscicides - direct kill</w:t>
            </w:r>
          </w:p>
        </w:tc>
      </w:tr>
      <w:tr w:rsidR="00E854C5" w:rsidRPr="00E854C5" w14:paraId="7038ECC3" w14:textId="77777777" w:rsidTr="0087212A">
        <w:trPr>
          <w:trHeight w:val="276"/>
        </w:trPr>
        <w:tc>
          <w:tcPr>
            <w:tcW w:w="800" w:type="dxa"/>
            <w:shd w:val="clear" w:color="auto" w:fill="auto"/>
            <w:noWrap/>
            <w:vAlign w:val="center"/>
            <w:hideMark/>
          </w:tcPr>
          <w:p w14:paraId="3BA798E2" w14:textId="77777777" w:rsidR="00E854C5" w:rsidRPr="00E854C5" w:rsidRDefault="00E854C5" w:rsidP="00E854C5">
            <w:pPr>
              <w:pStyle w:val="HistoryTable"/>
            </w:pPr>
            <w:r w:rsidRPr="00E854C5">
              <w:t>PT17</w:t>
            </w:r>
          </w:p>
        </w:tc>
        <w:tc>
          <w:tcPr>
            <w:tcW w:w="600" w:type="dxa"/>
            <w:shd w:val="clear" w:color="auto" w:fill="auto"/>
            <w:noWrap/>
            <w:vAlign w:val="center"/>
            <w:hideMark/>
          </w:tcPr>
          <w:p w14:paraId="27A0DBC9" w14:textId="77777777" w:rsidR="00E854C5" w:rsidRPr="00E854C5" w:rsidRDefault="00E854C5" w:rsidP="00E854C5">
            <w:pPr>
              <w:pStyle w:val="HistoryTable"/>
            </w:pPr>
            <w:r w:rsidRPr="00E854C5">
              <w:t>#56</w:t>
            </w:r>
          </w:p>
        </w:tc>
        <w:tc>
          <w:tcPr>
            <w:tcW w:w="1460" w:type="dxa"/>
            <w:shd w:val="clear" w:color="auto" w:fill="auto"/>
            <w:hideMark/>
          </w:tcPr>
          <w:p w14:paraId="611C8502"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1E279983" w14:textId="77777777" w:rsidR="00E854C5" w:rsidRPr="00E854C5" w:rsidRDefault="00E854C5" w:rsidP="00E854C5">
            <w:pPr>
              <w:pStyle w:val="HistoryTable"/>
            </w:pPr>
            <w:r w:rsidRPr="00E854C5">
              <w:t>Other PT17</w:t>
            </w:r>
          </w:p>
        </w:tc>
      </w:tr>
      <w:tr w:rsidR="00E854C5" w:rsidRPr="00E854C5" w14:paraId="2B7EEB86" w14:textId="77777777" w:rsidTr="0087212A">
        <w:trPr>
          <w:trHeight w:val="552"/>
        </w:trPr>
        <w:tc>
          <w:tcPr>
            <w:tcW w:w="800" w:type="dxa"/>
            <w:shd w:val="clear" w:color="auto" w:fill="auto"/>
            <w:noWrap/>
            <w:vAlign w:val="center"/>
            <w:hideMark/>
          </w:tcPr>
          <w:p w14:paraId="52DFDB31" w14:textId="77777777" w:rsidR="00E854C5" w:rsidRPr="00E854C5" w:rsidRDefault="00E854C5" w:rsidP="00E854C5">
            <w:pPr>
              <w:pStyle w:val="HistoryTable"/>
            </w:pPr>
            <w:r w:rsidRPr="00E854C5">
              <w:t>PT18</w:t>
            </w:r>
          </w:p>
        </w:tc>
        <w:tc>
          <w:tcPr>
            <w:tcW w:w="600" w:type="dxa"/>
            <w:shd w:val="clear" w:color="auto" w:fill="auto"/>
            <w:noWrap/>
            <w:vAlign w:val="center"/>
            <w:hideMark/>
          </w:tcPr>
          <w:p w14:paraId="70E8C56F" w14:textId="77777777" w:rsidR="00E854C5" w:rsidRPr="00E854C5" w:rsidRDefault="00E854C5" w:rsidP="00E854C5">
            <w:pPr>
              <w:pStyle w:val="HistoryTable"/>
            </w:pPr>
            <w:r w:rsidRPr="00E854C5">
              <w:t>#57</w:t>
            </w:r>
          </w:p>
        </w:tc>
        <w:tc>
          <w:tcPr>
            <w:tcW w:w="1460" w:type="dxa"/>
            <w:shd w:val="clear" w:color="auto" w:fill="auto"/>
            <w:hideMark/>
          </w:tcPr>
          <w:p w14:paraId="2CEB1CFA"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52C35ACA" w14:textId="77777777" w:rsidR="00E854C5" w:rsidRPr="00E854C5" w:rsidRDefault="00E854C5" w:rsidP="00E854C5">
            <w:pPr>
              <w:pStyle w:val="HistoryTable"/>
            </w:pPr>
            <w:r w:rsidRPr="00E854C5">
              <w:t>Insecticides, acaricides and products to control other arthropods - Use as bait</w:t>
            </w:r>
          </w:p>
        </w:tc>
      </w:tr>
      <w:tr w:rsidR="00E854C5" w:rsidRPr="00E854C5" w14:paraId="355D3EF0" w14:textId="77777777" w:rsidTr="0087212A">
        <w:trPr>
          <w:trHeight w:val="552"/>
        </w:trPr>
        <w:tc>
          <w:tcPr>
            <w:tcW w:w="800" w:type="dxa"/>
            <w:shd w:val="clear" w:color="auto" w:fill="auto"/>
            <w:noWrap/>
            <w:vAlign w:val="center"/>
            <w:hideMark/>
          </w:tcPr>
          <w:p w14:paraId="3F1E3BFC" w14:textId="77777777" w:rsidR="00E854C5" w:rsidRPr="00E854C5" w:rsidRDefault="00E854C5" w:rsidP="00E854C5">
            <w:pPr>
              <w:pStyle w:val="HistoryTable"/>
            </w:pPr>
            <w:r w:rsidRPr="00E854C5">
              <w:t>PT18</w:t>
            </w:r>
          </w:p>
        </w:tc>
        <w:tc>
          <w:tcPr>
            <w:tcW w:w="600" w:type="dxa"/>
            <w:shd w:val="clear" w:color="auto" w:fill="auto"/>
            <w:noWrap/>
            <w:vAlign w:val="center"/>
            <w:hideMark/>
          </w:tcPr>
          <w:p w14:paraId="05F01741" w14:textId="77777777" w:rsidR="00E854C5" w:rsidRPr="00E854C5" w:rsidRDefault="00E854C5" w:rsidP="00E854C5">
            <w:pPr>
              <w:pStyle w:val="HistoryTable"/>
            </w:pPr>
            <w:r w:rsidRPr="00E854C5">
              <w:t>#58</w:t>
            </w:r>
          </w:p>
        </w:tc>
        <w:tc>
          <w:tcPr>
            <w:tcW w:w="1460" w:type="dxa"/>
            <w:shd w:val="clear" w:color="auto" w:fill="auto"/>
            <w:hideMark/>
          </w:tcPr>
          <w:p w14:paraId="66B8D0E2" w14:textId="77777777" w:rsidR="00E854C5" w:rsidRPr="00E854C5" w:rsidRDefault="00E854C5" w:rsidP="00E854C5">
            <w:pPr>
              <w:pStyle w:val="HistoryTable"/>
              <w:rPr>
                <w:b/>
                <w:bCs/>
              </w:rPr>
            </w:pPr>
            <w:r w:rsidRPr="00E854C5">
              <w:rPr>
                <w:b/>
                <w:bCs/>
              </w:rPr>
              <w:t>(3)f</w:t>
            </w:r>
          </w:p>
        </w:tc>
        <w:tc>
          <w:tcPr>
            <w:tcW w:w="5449" w:type="dxa"/>
            <w:shd w:val="clear" w:color="000000" w:fill="FFFFFF"/>
            <w:vAlign w:val="center"/>
            <w:hideMark/>
          </w:tcPr>
          <w:p w14:paraId="5B3257C0" w14:textId="77777777" w:rsidR="00E854C5" w:rsidRPr="00E854C5" w:rsidRDefault="00E854C5" w:rsidP="00E854C5">
            <w:pPr>
              <w:pStyle w:val="HistoryTable"/>
            </w:pPr>
            <w:r w:rsidRPr="00E854C5">
              <w:t>Insecticides, acaricides and products to control other arthropods - direct kill</w:t>
            </w:r>
          </w:p>
        </w:tc>
      </w:tr>
      <w:tr w:rsidR="00E854C5" w:rsidRPr="00E854C5" w14:paraId="4C7F3F5F" w14:textId="77777777" w:rsidTr="0087212A">
        <w:trPr>
          <w:trHeight w:val="276"/>
        </w:trPr>
        <w:tc>
          <w:tcPr>
            <w:tcW w:w="800" w:type="dxa"/>
            <w:shd w:val="clear" w:color="auto" w:fill="auto"/>
            <w:noWrap/>
            <w:vAlign w:val="center"/>
            <w:hideMark/>
          </w:tcPr>
          <w:p w14:paraId="55443D07" w14:textId="77777777" w:rsidR="00E854C5" w:rsidRPr="00E854C5" w:rsidRDefault="00E854C5" w:rsidP="00E854C5">
            <w:pPr>
              <w:pStyle w:val="HistoryTable"/>
            </w:pPr>
            <w:r w:rsidRPr="00E854C5">
              <w:t>PT18</w:t>
            </w:r>
          </w:p>
        </w:tc>
        <w:tc>
          <w:tcPr>
            <w:tcW w:w="600" w:type="dxa"/>
            <w:shd w:val="clear" w:color="auto" w:fill="auto"/>
            <w:noWrap/>
            <w:vAlign w:val="center"/>
            <w:hideMark/>
          </w:tcPr>
          <w:p w14:paraId="35E60618" w14:textId="77777777" w:rsidR="00E854C5" w:rsidRPr="00E854C5" w:rsidRDefault="00E854C5" w:rsidP="00E854C5">
            <w:pPr>
              <w:pStyle w:val="HistoryTable"/>
            </w:pPr>
            <w:r w:rsidRPr="00E854C5">
              <w:t>#59</w:t>
            </w:r>
          </w:p>
        </w:tc>
        <w:tc>
          <w:tcPr>
            <w:tcW w:w="1460" w:type="dxa"/>
            <w:shd w:val="clear" w:color="auto" w:fill="auto"/>
            <w:hideMark/>
          </w:tcPr>
          <w:p w14:paraId="5484844F"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7AD4B060" w14:textId="77777777" w:rsidR="00E854C5" w:rsidRPr="00E854C5" w:rsidRDefault="00E854C5" w:rsidP="00E854C5">
            <w:pPr>
              <w:pStyle w:val="HistoryTable"/>
            </w:pPr>
            <w:r w:rsidRPr="00E854C5">
              <w:t>Other PT18</w:t>
            </w:r>
          </w:p>
        </w:tc>
      </w:tr>
      <w:tr w:rsidR="00E854C5" w:rsidRPr="00E854C5" w14:paraId="5ACAB1FF" w14:textId="77777777" w:rsidTr="0087212A">
        <w:trPr>
          <w:trHeight w:val="552"/>
        </w:trPr>
        <w:tc>
          <w:tcPr>
            <w:tcW w:w="800" w:type="dxa"/>
            <w:shd w:val="clear" w:color="auto" w:fill="auto"/>
            <w:noWrap/>
            <w:vAlign w:val="center"/>
            <w:hideMark/>
          </w:tcPr>
          <w:p w14:paraId="48AEF9F3" w14:textId="77777777" w:rsidR="00E854C5" w:rsidRPr="00E854C5" w:rsidRDefault="00E854C5" w:rsidP="00E854C5">
            <w:pPr>
              <w:pStyle w:val="HistoryTable"/>
            </w:pPr>
            <w:r w:rsidRPr="00E854C5">
              <w:t>PT19</w:t>
            </w:r>
          </w:p>
        </w:tc>
        <w:tc>
          <w:tcPr>
            <w:tcW w:w="600" w:type="dxa"/>
            <w:shd w:val="clear" w:color="auto" w:fill="auto"/>
            <w:noWrap/>
            <w:vAlign w:val="center"/>
            <w:hideMark/>
          </w:tcPr>
          <w:p w14:paraId="7BB7C254" w14:textId="77777777" w:rsidR="00E854C5" w:rsidRPr="00E854C5" w:rsidRDefault="00E854C5" w:rsidP="00E854C5">
            <w:pPr>
              <w:pStyle w:val="HistoryTable"/>
            </w:pPr>
            <w:r w:rsidRPr="00E854C5">
              <w:t>#60</w:t>
            </w:r>
          </w:p>
        </w:tc>
        <w:tc>
          <w:tcPr>
            <w:tcW w:w="1460" w:type="dxa"/>
            <w:shd w:val="clear" w:color="auto" w:fill="auto"/>
            <w:hideMark/>
          </w:tcPr>
          <w:p w14:paraId="53A715AA"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4BF6EC0E" w14:textId="77777777" w:rsidR="00E854C5" w:rsidRPr="00E854C5" w:rsidRDefault="00E854C5" w:rsidP="00E854C5">
            <w:pPr>
              <w:pStyle w:val="HistoryTable"/>
            </w:pPr>
            <w:r w:rsidRPr="00E854C5">
              <w:t>Repellents and attractants used directly on human or animal skin or on clothing</w:t>
            </w:r>
          </w:p>
        </w:tc>
      </w:tr>
      <w:tr w:rsidR="00E854C5" w:rsidRPr="00E854C5" w14:paraId="6DECA994" w14:textId="77777777" w:rsidTr="0087212A">
        <w:trPr>
          <w:trHeight w:val="552"/>
        </w:trPr>
        <w:tc>
          <w:tcPr>
            <w:tcW w:w="800" w:type="dxa"/>
            <w:shd w:val="clear" w:color="auto" w:fill="auto"/>
            <w:noWrap/>
            <w:vAlign w:val="center"/>
            <w:hideMark/>
          </w:tcPr>
          <w:p w14:paraId="2D1B6678" w14:textId="77777777" w:rsidR="00E854C5" w:rsidRPr="00E854C5" w:rsidRDefault="00E854C5" w:rsidP="00E854C5">
            <w:pPr>
              <w:pStyle w:val="HistoryTable"/>
            </w:pPr>
            <w:r w:rsidRPr="00E854C5">
              <w:t>PT19</w:t>
            </w:r>
          </w:p>
        </w:tc>
        <w:tc>
          <w:tcPr>
            <w:tcW w:w="600" w:type="dxa"/>
            <w:shd w:val="clear" w:color="auto" w:fill="auto"/>
            <w:noWrap/>
            <w:vAlign w:val="center"/>
            <w:hideMark/>
          </w:tcPr>
          <w:p w14:paraId="0F36D37A" w14:textId="77777777" w:rsidR="00E854C5" w:rsidRPr="00E854C5" w:rsidRDefault="00E854C5" w:rsidP="00E854C5">
            <w:pPr>
              <w:pStyle w:val="HistoryTable"/>
            </w:pPr>
            <w:r w:rsidRPr="00E854C5">
              <w:t>#61</w:t>
            </w:r>
          </w:p>
        </w:tc>
        <w:tc>
          <w:tcPr>
            <w:tcW w:w="1460" w:type="dxa"/>
            <w:shd w:val="clear" w:color="auto" w:fill="auto"/>
            <w:hideMark/>
          </w:tcPr>
          <w:p w14:paraId="455BA68B"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6810F750" w14:textId="77777777" w:rsidR="00E854C5" w:rsidRPr="00E854C5" w:rsidRDefault="00E854C5" w:rsidP="00E854C5">
            <w:pPr>
              <w:pStyle w:val="HistoryTable"/>
            </w:pPr>
            <w:r w:rsidRPr="00E854C5">
              <w:t xml:space="preserve">Repellents and attractants </w:t>
            </w:r>
            <w:r w:rsidRPr="00360671">
              <w:rPr>
                <w:u w:val="single"/>
              </w:rPr>
              <w:t>not</w:t>
            </w:r>
            <w:r w:rsidRPr="00E854C5">
              <w:t xml:space="preserve"> used directly on human or animal skin or on clothing</w:t>
            </w:r>
          </w:p>
        </w:tc>
      </w:tr>
      <w:tr w:rsidR="00E854C5" w:rsidRPr="00E854C5" w14:paraId="1359E2C7" w14:textId="77777777" w:rsidTr="0087212A">
        <w:trPr>
          <w:trHeight w:val="276"/>
        </w:trPr>
        <w:tc>
          <w:tcPr>
            <w:tcW w:w="800" w:type="dxa"/>
            <w:shd w:val="clear" w:color="auto" w:fill="auto"/>
            <w:noWrap/>
            <w:vAlign w:val="center"/>
            <w:hideMark/>
          </w:tcPr>
          <w:p w14:paraId="2B3273B9" w14:textId="77777777" w:rsidR="00E854C5" w:rsidRPr="00E854C5" w:rsidRDefault="00E854C5" w:rsidP="00E854C5">
            <w:pPr>
              <w:pStyle w:val="HistoryTable"/>
            </w:pPr>
            <w:r w:rsidRPr="00E854C5">
              <w:t>PT20</w:t>
            </w:r>
          </w:p>
        </w:tc>
        <w:tc>
          <w:tcPr>
            <w:tcW w:w="600" w:type="dxa"/>
            <w:shd w:val="clear" w:color="auto" w:fill="auto"/>
            <w:noWrap/>
            <w:vAlign w:val="center"/>
            <w:hideMark/>
          </w:tcPr>
          <w:p w14:paraId="498E5BD8" w14:textId="77777777" w:rsidR="00E854C5" w:rsidRPr="00E854C5" w:rsidRDefault="00E854C5" w:rsidP="00E854C5">
            <w:pPr>
              <w:pStyle w:val="HistoryTable"/>
            </w:pPr>
            <w:r w:rsidRPr="00E854C5">
              <w:t>#62</w:t>
            </w:r>
          </w:p>
        </w:tc>
        <w:tc>
          <w:tcPr>
            <w:tcW w:w="1460" w:type="dxa"/>
            <w:shd w:val="clear" w:color="auto" w:fill="auto"/>
            <w:hideMark/>
          </w:tcPr>
          <w:p w14:paraId="75664CED"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70A209AB" w14:textId="77777777" w:rsidR="00E854C5" w:rsidRPr="00E854C5" w:rsidRDefault="00E854C5" w:rsidP="00E854C5">
            <w:pPr>
              <w:pStyle w:val="HistoryTable"/>
            </w:pPr>
            <w:r w:rsidRPr="00E854C5">
              <w:t>Control of other vertebrates - Use as bait</w:t>
            </w:r>
          </w:p>
        </w:tc>
      </w:tr>
      <w:tr w:rsidR="00E854C5" w:rsidRPr="00E854C5" w14:paraId="26770B44" w14:textId="77777777" w:rsidTr="0087212A">
        <w:trPr>
          <w:trHeight w:val="276"/>
        </w:trPr>
        <w:tc>
          <w:tcPr>
            <w:tcW w:w="800" w:type="dxa"/>
            <w:shd w:val="clear" w:color="auto" w:fill="auto"/>
            <w:noWrap/>
            <w:vAlign w:val="center"/>
            <w:hideMark/>
          </w:tcPr>
          <w:p w14:paraId="7A5DB74B" w14:textId="77777777" w:rsidR="00E854C5" w:rsidRPr="00E854C5" w:rsidRDefault="00E854C5" w:rsidP="00E854C5">
            <w:pPr>
              <w:pStyle w:val="HistoryTable"/>
            </w:pPr>
            <w:r w:rsidRPr="00E854C5">
              <w:t>PT20</w:t>
            </w:r>
          </w:p>
        </w:tc>
        <w:tc>
          <w:tcPr>
            <w:tcW w:w="600" w:type="dxa"/>
            <w:shd w:val="clear" w:color="auto" w:fill="auto"/>
            <w:noWrap/>
            <w:vAlign w:val="center"/>
            <w:hideMark/>
          </w:tcPr>
          <w:p w14:paraId="784DB1A0" w14:textId="77777777" w:rsidR="00E854C5" w:rsidRPr="00E854C5" w:rsidRDefault="00E854C5" w:rsidP="00E854C5">
            <w:pPr>
              <w:pStyle w:val="HistoryTable"/>
            </w:pPr>
            <w:r w:rsidRPr="00E854C5">
              <w:t>#63</w:t>
            </w:r>
          </w:p>
        </w:tc>
        <w:tc>
          <w:tcPr>
            <w:tcW w:w="1460" w:type="dxa"/>
            <w:shd w:val="clear" w:color="auto" w:fill="auto"/>
            <w:hideMark/>
          </w:tcPr>
          <w:p w14:paraId="57A45137"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55CCA231" w14:textId="77777777" w:rsidR="00E854C5" w:rsidRPr="00E854C5" w:rsidRDefault="00E854C5" w:rsidP="00E854C5">
            <w:pPr>
              <w:pStyle w:val="HistoryTable"/>
            </w:pPr>
            <w:r w:rsidRPr="00E854C5">
              <w:t>Control of other vertebrates - Other uses  (direct kill)</w:t>
            </w:r>
          </w:p>
        </w:tc>
      </w:tr>
      <w:tr w:rsidR="00E854C5" w:rsidRPr="00E854C5" w14:paraId="0996DD4E" w14:textId="77777777" w:rsidTr="0087212A">
        <w:trPr>
          <w:trHeight w:val="276"/>
        </w:trPr>
        <w:tc>
          <w:tcPr>
            <w:tcW w:w="800" w:type="dxa"/>
            <w:shd w:val="clear" w:color="auto" w:fill="auto"/>
            <w:noWrap/>
            <w:vAlign w:val="center"/>
            <w:hideMark/>
          </w:tcPr>
          <w:p w14:paraId="3FF804E6" w14:textId="77777777" w:rsidR="00E854C5" w:rsidRPr="00E854C5" w:rsidRDefault="00E854C5" w:rsidP="00E854C5">
            <w:pPr>
              <w:pStyle w:val="HistoryTable"/>
            </w:pPr>
            <w:r w:rsidRPr="00E854C5">
              <w:t>PT21</w:t>
            </w:r>
          </w:p>
        </w:tc>
        <w:tc>
          <w:tcPr>
            <w:tcW w:w="600" w:type="dxa"/>
            <w:shd w:val="clear" w:color="auto" w:fill="auto"/>
            <w:noWrap/>
            <w:vAlign w:val="center"/>
            <w:hideMark/>
          </w:tcPr>
          <w:p w14:paraId="28E0B330" w14:textId="77777777" w:rsidR="00E854C5" w:rsidRPr="00E854C5" w:rsidRDefault="00E854C5" w:rsidP="00E854C5">
            <w:pPr>
              <w:pStyle w:val="HistoryTable"/>
            </w:pPr>
            <w:r w:rsidRPr="00E854C5">
              <w:t>#64</w:t>
            </w:r>
          </w:p>
        </w:tc>
        <w:tc>
          <w:tcPr>
            <w:tcW w:w="1460" w:type="dxa"/>
            <w:shd w:val="clear" w:color="auto" w:fill="auto"/>
            <w:hideMark/>
          </w:tcPr>
          <w:p w14:paraId="4F4704CA" w14:textId="77777777" w:rsidR="00E854C5" w:rsidRPr="00E854C5" w:rsidRDefault="00E854C5" w:rsidP="00E854C5">
            <w:pPr>
              <w:pStyle w:val="HistoryTable"/>
              <w:rPr>
                <w:b/>
                <w:bCs/>
              </w:rPr>
            </w:pPr>
            <w:r w:rsidRPr="00E854C5">
              <w:rPr>
                <w:b/>
                <w:bCs/>
              </w:rPr>
              <w:t> </w:t>
            </w:r>
          </w:p>
        </w:tc>
        <w:tc>
          <w:tcPr>
            <w:tcW w:w="5449" w:type="dxa"/>
            <w:shd w:val="clear" w:color="000000" w:fill="FFFFFF"/>
            <w:vAlign w:val="center"/>
            <w:hideMark/>
          </w:tcPr>
          <w:p w14:paraId="728F96BE" w14:textId="77777777" w:rsidR="00E854C5" w:rsidRPr="00E854C5" w:rsidRDefault="00E854C5" w:rsidP="00E854C5">
            <w:pPr>
              <w:pStyle w:val="HistoryTable"/>
            </w:pPr>
            <w:r w:rsidRPr="00E854C5">
              <w:t xml:space="preserve">Antifouling products </w:t>
            </w:r>
          </w:p>
        </w:tc>
      </w:tr>
      <w:tr w:rsidR="00E854C5" w:rsidRPr="00E854C5" w14:paraId="0B83D798" w14:textId="77777777" w:rsidTr="0087212A">
        <w:trPr>
          <w:trHeight w:val="276"/>
        </w:trPr>
        <w:tc>
          <w:tcPr>
            <w:tcW w:w="800" w:type="dxa"/>
            <w:shd w:val="clear" w:color="auto" w:fill="auto"/>
            <w:noWrap/>
            <w:vAlign w:val="center"/>
            <w:hideMark/>
          </w:tcPr>
          <w:p w14:paraId="7BB4AA8F" w14:textId="77777777" w:rsidR="00E854C5" w:rsidRPr="00E854C5" w:rsidRDefault="00E854C5" w:rsidP="00E854C5">
            <w:pPr>
              <w:pStyle w:val="HistoryTable"/>
            </w:pPr>
            <w:r w:rsidRPr="00E854C5">
              <w:t>PT22</w:t>
            </w:r>
          </w:p>
        </w:tc>
        <w:tc>
          <w:tcPr>
            <w:tcW w:w="600" w:type="dxa"/>
            <w:shd w:val="clear" w:color="auto" w:fill="auto"/>
            <w:noWrap/>
            <w:vAlign w:val="center"/>
            <w:hideMark/>
          </w:tcPr>
          <w:p w14:paraId="5D003D1D" w14:textId="77777777" w:rsidR="00E854C5" w:rsidRPr="00E854C5" w:rsidRDefault="00E854C5" w:rsidP="00E854C5">
            <w:pPr>
              <w:pStyle w:val="HistoryTable"/>
            </w:pPr>
            <w:r w:rsidRPr="00E854C5">
              <w:t>#65</w:t>
            </w:r>
          </w:p>
        </w:tc>
        <w:tc>
          <w:tcPr>
            <w:tcW w:w="1460" w:type="dxa"/>
            <w:shd w:val="clear" w:color="auto" w:fill="auto"/>
            <w:hideMark/>
          </w:tcPr>
          <w:p w14:paraId="6D356377" w14:textId="77777777" w:rsidR="00E854C5" w:rsidRPr="00E854C5" w:rsidRDefault="00E854C5" w:rsidP="00E854C5">
            <w:pPr>
              <w:pStyle w:val="HistoryTable"/>
              <w:rPr>
                <w:b/>
                <w:bCs/>
              </w:rPr>
            </w:pPr>
            <w:r w:rsidRPr="00E854C5">
              <w:rPr>
                <w:b/>
                <w:bCs/>
              </w:rPr>
              <w:t>(3)e</w:t>
            </w:r>
          </w:p>
        </w:tc>
        <w:tc>
          <w:tcPr>
            <w:tcW w:w="5449" w:type="dxa"/>
            <w:shd w:val="clear" w:color="000000" w:fill="FFFFFF"/>
            <w:vAlign w:val="center"/>
            <w:hideMark/>
          </w:tcPr>
          <w:p w14:paraId="3435B595" w14:textId="77777777" w:rsidR="00E854C5" w:rsidRPr="00E854C5" w:rsidRDefault="00E854C5" w:rsidP="00E854C5">
            <w:pPr>
              <w:pStyle w:val="HistoryTable"/>
            </w:pPr>
            <w:r w:rsidRPr="00E854C5">
              <w:t xml:space="preserve">Embalming and taxidermist fluids </w:t>
            </w:r>
          </w:p>
        </w:tc>
      </w:tr>
    </w:tbl>
    <w:p w14:paraId="5BF29A1D" w14:textId="36AB366E" w:rsidR="003B3570" w:rsidRDefault="003B3570" w:rsidP="00BD5CE8">
      <w:pPr>
        <w:pStyle w:val="HistoryTable"/>
      </w:pPr>
    </w:p>
    <w:p w14:paraId="050F37B6" w14:textId="77777777" w:rsidR="003B3570" w:rsidRDefault="003B3570" w:rsidP="00BD5CE8">
      <w:pPr>
        <w:pStyle w:val="HistoryTable"/>
      </w:pPr>
    </w:p>
    <w:p w14:paraId="33D8E72F" w14:textId="77777777" w:rsidR="003B3570" w:rsidRDefault="003B3570" w:rsidP="00BD5CE8">
      <w:pPr>
        <w:pStyle w:val="HistoryTable"/>
        <w:sectPr w:rsidR="003B3570">
          <w:pgSz w:w="11906" w:h="16838"/>
          <w:pgMar w:top="1020" w:right="1701" w:bottom="1020" w:left="1587" w:header="601" w:footer="1077" w:gutter="0"/>
          <w:cols w:space="720"/>
          <w:titlePg/>
          <w:docGrid w:linePitch="326"/>
        </w:sectPr>
      </w:pPr>
    </w:p>
    <w:p w14:paraId="2329B40B" w14:textId="77777777" w:rsidR="00E7732B" w:rsidRDefault="00E7732B" w:rsidP="00E7732B">
      <w:pPr>
        <w:pStyle w:val="HistTableHeading"/>
      </w:pPr>
      <w:r>
        <w:lastRenderedPageBreak/>
        <w:t>Annex V</w:t>
      </w:r>
    </w:p>
    <w:p w14:paraId="11ECC5CB" w14:textId="77777777" w:rsidR="00BD5CE8" w:rsidRDefault="00E7732B" w:rsidP="00E7732B">
      <w:pPr>
        <w:pStyle w:val="HistTableHeading"/>
      </w:pPr>
      <w:r>
        <w:t>Exception for similarity of uses</w:t>
      </w:r>
    </w:p>
    <w:p w14:paraId="436CAE46" w14:textId="77777777" w:rsidR="00AD3351" w:rsidRDefault="00AD3351" w:rsidP="00AD3351">
      <w:pPr>
        <w:rPr>
          <w:lang w:val="en-IE"/>
        </w:rPr>
      </w:pPr>
      <w:r>
        <w:rPr>
          <w:lang w:val="en-IE"/>
        </w:rPr>
        <w:t>It is important to note that, in all cases, when defining the structure of the family, the limitations introduced by the conditions of “similar composition” and "similar level of risk and efficacy" will need to be considered. In other words, accepting that the exception would apply does not negate the need to fulfil the condition of “similar composition” and "similar level of risk and efficacy".</w:t>
      </w:r>
    </w:p>
    <w:p w14:paraId="3B668FBE" w14:textId="77777777" w:rsidR="00AD3351" w:rsidRDefault="00AD3351" w:rsidP="00AD3351">
      <w:pPr>
        <w:rPr>
          <w:b/>
          <w:lang w:val="en-IE"/>
        </w:rPr>
      </w:pPr>
      <w:r>
        <w:rPr>
          <w:b/>
          <w:lang w:val="en-IE"/>
        </w:rPr>
        <w:t>Criteria for applicability of the exception</w:t>
      </w:r>
    </w:p>
    <w:p w14:paraId="26340F72" w14:textId="308720E2" w:rsidR="009A006F" w:rsidRDefault="009A006F" w:rsidP="009A006F">
      <w:pPr>
        <w:spacing w:after="120"/>
      </w:pPr>
      <w:r w:rsidRPr="009E4699">
        <w:t xml:space="preserve">In order to avoid applications which are in a large part redundant MS </w:t>
      </w:r>
      <w:r w:rsidRPr="00A5129A">
        <w:rPr>
          <w:b/>
          <w:u w:val="single"/>
        </w:rPr>
        <w:t>can</w:t>
      </w:r>
      <w:r w:rsidRPr="009E4699">
        <w:t xml:space="preserve"> </w:t>
      </w:r>
      <w:r>
        <w:rPr>
          <w:lang w:val="en-IE"/>
        </w:rPr>
        <w:t xml:space="preserve">consider in each family </w:t>
      </w:r>
      <w:r w:rsidRPr="00774112">
        <w:rPr>
          <w:u w:val="single"/>
          <w:lang w:val="en-IE"/>
        </w:rPr>
        <w:t>a maximum</w:t>
      </w:r>
      <w:r w:rsidR="007C4CF7">
        <w:rPr>
          <w:rStyle w:val="FootnoteReference"/>
          <w:u w:val="single"/>
          <w:lang w:val="en-IE"/>
        </w:rPr>
        <w:footnoteReference w:id="39"/>
      </w:r>
      <w:r w:rsidRPr="00774112">
        <w:rPr>
          <w:u w:val="single"/>
          <w:lang w:val="en-IE"/>
        </w:rPr>
        <w:t xml:space="preserve"> of two pairs of uses</w:t>
      </w:r>
      <w:r>
        <w:rPr>
          <w:lang w:val="en-IE"/>
        </w:rPr>
        <w:t xml:space="preserve"> as similar that are </w:t>
      </w:r>
      <w:r>
        <w:rPr>
          <w:i/>
          <w:lang w:val="en-IE"/>
        </w:rPr>
        <w:t>a priory</w:t>
      </w:r>
      <w:r>
        <w:rPr>
          <w:lang w:val="en-IE"/>
        </w:rPr>
        <w:t xml:space="preserve"> considered as "non-similar". In this context, where applicable, a use has to be understood as a use pattern (i.e. as those listed in Annex IV)</w:t>
      </w:r>
      <w:r w:rsidRPr="009E4699">
        <w:t>.</w:t>
      </w:r>
    </w:p>
    <w:p w14:paraId="7FC02A34" w14:textId="77777777" w:rsidR="00AD3351" w:rsidRDefault="00AD3351" w:rsidP="001E14DE">
      <w:pPr>
        <w:spacing w:after="120"/>
        <w:rPr>
          <w:lang w:val="en-IE"/>
        </w:rPr>
      </w:pPr>
      <w:r>
        <w:rPr>
          <w:lang w:val="en-IE"/>
        </w:rPr>
        <w:t>In order to illustrate the application of this exception, we can consider the following theoretical example to assess similarity of uses of a possible family with five different uses.</w:t>
      </w:r>
    </w:p>
    <w:p w14:paraId="0A2009CD" w14:textId="77777777" w:rsidR="00AD3351" w:rsidRDefault="00AD3351" w:rsidP="00AD3351">
      <w:pPr>
        <w:rPr>
          <w:lang w:val="en-IE"/>
        </w:rPr>
      </w:pPr>
      <w:r>
        <w:rPr>
          <w:lang w:val="en-IE"/>
        </w:rPr>
        <w:t xml:space="preserve">Let's imagine that, according to the criteria on similarity of uses, we could construct a matrix with the outcome below that indicates in red those pairs of uses that are not similar, and in green those pairs that are similar.  </w:t>
      </w:r>
    </w:p>
    <w:tbl>
      <w:tblPr>
        <w:tblW w:w="5893" w:type="dxa"/>
        <w:tblInd w:w="1146" w:type="dxa"/>
        <w:tblLook w:val="04A0" w:firstRow="1" w:lastRow="0" w:firstColumn="1" w:lastColumn="0" w:noHBand="0" w:noVBand="1"/>
      </w:tblPr>
      <w:tblGrid>
        <w:gridCol w:w="960"/>
        <w:gridCol w:w="1106"/>
        <w:gridCol w:w="992"/>
        <w:gridCol w:w="850"/>
        <w:gridCol w:w="993"/>
        <w:gridCol w:w="992"/>
      </w:tblGrid>
      <w:tr w:rsidR="00AD3351" w:rsidRPr="001E14DE" w14:paraId="0AFEAFEB" w14:textId="77777777" w:rsidTr="0087212A">
        <w:trPr>
          <w:trHeight w:val="227"/>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A24A929" w14:textId="77777777" w:rsidR="00AD3351" w:rsidRPr="001E14DE" w:rsidRDefault="00AD3351" w:rsidP="0087212A">
            <w:pPr>
              <w:pStyle w:val="NoSpacing"/>
              <w:jc w:val="center"/>
              <w:rPr>
                <w:rFonts w:ascii="Times New Roman" w:hAnsi="Times New Roman"/>
                <w:sz w:val="24"/>
                <w:szCs w:val="24"/>
                <w:lang w:val="en-US" w:eastAsia="en-GB"/>
              </w:rPr>
            </w:pPr>
          </w:p>
        </w:tc>
        <w:tc>
          <w:tcPr>
            <w:tcW w:w="1106" w:type="dxa"/>
            <w:tcBorders>
              <w:top w:val="single" w:sz="4" w:space="0" w:color="auto"/>
              <w:left w:val="nil"/>
              <w:bottom w:val="single" w:sz="4" w:space="0" w:color="auto"/>
              <w:right w:val="single" w:sz="4" w:space="0" w:color="auto"/>
            </w:tcBorders>
            <w:noWrap/>
            <w:vAlign w:val="bottom"/>
            <w:hideMark/>
          </w:tcPr>
          <w:p w14:paraId="3B7A3966"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1</w:t>
            </w:r>
          </w:p>
        </w:tc>
        <w:tc>
          <w:tcPr>
            <w:tcW w:w="992" w:type="dxa"/>
            <w:tcBorders>
              <w:top w:val="single" w:sz="4" w:space="0" w:color="auto"/>
              <w:left w:val="nil"/>
              <w:bottom w:val="single" w:sz="4" w:space="0" w:color="auto"/>
              <w:right w:val="single" w:sz="4" w:space="0" w:color="auto"/>
            </w:tcBorders>
            <w:noWrap/>
            <w:vAlign w:val="bottom"/>
            <w:hideMark/>
          </w:tcPr>
          <w:p w14:paraId="5AF8DE09"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2</w:t>
            </w:r>
          </w:p>
        </w:tc>
        <w:tc>
          <w:tcPr>
            <w:tcW w:w="850" w:type="dxa"/>
            <w:tcBorders>
              <w:top w:val="single" w:sz="4" w:space="0" w:color="auto"/>
              <w:left w:val="nil"/>
              <w:bottom w:val="single" w:sz="4" w:space="0" w:color="auto"/>
              <w:right w:val="single" w:sz="4" w:space="0" w:color="auto"/>
            </w:tcBorders>
            <w:noWrap/>
            <w:vAlign w:val="bottom"/>
            <w:hideMark/>
          </w:tcPr>
          <w:p w14:paraId="186AF343"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3</w:t>
            </w:r>
          </w:p>
        </w:tc>
        <w:tc>
          <w:tcPr>
            <w:tcW w:w="993" w:type="dxa"/>
            <w:tcBorders>
              <w:top w:val="single" w:sz="4" w:space="0" w:color="auto"/>
              <w:left w:val="nil"/>
              <w:bottom w:val="single" w:sz="4" w:space="0" w:color="auto"/>
              <w:right w:val="single" w:sz="4" w:space="0" w:color="auto"/>
            </w:tcBorders>
            <w:noWrap/>
            <w:vAlign w:val="bottom"/>
            <w:hideMark/>
          </w:tcPr>
          <w:p w14:paraId="5A030BB5"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4</w:t>
            </w:r>
          </w:p>
        </w:tc>
        <w:tc>
          <w:tcPr>
            <w:tcW w:w="992" w:type="dxa"/>
            <w:tcBorders>
              <w:top w:val="single" w:sz="4" w:space="0" w:color="auto"/>
              <w:left w:val="nil"/>
              <w:bottom w:val="single" w:sz="4" w:space="0" w:color="auto"/>
              <w:right w:val="single" w:sz="4" w:space="0" w:color="auto"/>
            </w:tcBorders>
            <w:noWrap/>
            <w:vAlign w:val="bottom"/>
            <w:hideMark/>
          </w:tcPr>
          <w:p w14:paraId="41E50BB3"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5</w:t>
            </w:r>
          </w:p>
        </w:tc>
      </w:tr>
      <w:tr w:rsidR="00AD3351" w:rsidRPr="001E14DE" w14:paraId="2A2C4277"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67AF6E56"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1</w:t>
            </w:r>
          </w:p>
        </w:tc>
        <w:tc>
          <w:tcPr>
            <w:tcW w:w="1106" w:type="dxa"/>
            <w:tcBorders>
              <w:top w:val="nil"/>
              <w:left w:val="nil"/>
              <w:bottom w:val="single" w:sz="4" w:space="0" w:color="auto"/>
              <w:right w:val="single" w:sz="4" w:space="0" w:color="auto"/>
            </w:tcBorders>
            <w:shd w:val="clear" w:color="auto" w:fill="76923C"/>
            <w:noWrap/>
            <w:vAlign w:val="bottom"/>
            <w:hideMark/>
          </w:tcPr>
          <w:p w14:paraId="5028BA46"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76923C"/>
            <w:noWrap/>
            <w:vAlign w:val="bottom"/>
            <w:hideMark/>
          </w:tcPr>
          <w:p w14:paraId="457EF1E3"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shd w:val="clear" w:color="auto" w:fill="FF0000"/>
            <w:noWrap/>
            <w:vAlign w:val="bottom"/>
          </w:tcPr>
          <w:p w14:paraId="32125EDE" w14:textId="77777777" w:rsidR="00AD3351" w:rsidRPr="001E14DE" w:rsidRDefault="00AD3351" w:rsidP="0087212A">
            <w:pPr>
              <w:pStyle w:val="NoSpacing"/>
              <w:jc w:val="center"/>
              <w:rPr>
                <w:rFonts w:ascii="Times New Roman" w:hAnsi="Times New Roman"/>
                <w:sz w:val="24"/>
                <w:szCs w:val="24"/>
                <w:lang w:val="en-US" w:eastAsia="en-GB"/>
              </w:rPr>
            </w:pPr>
          </w:p>
        </w:tc>
        <w:tc>
          <w:tcPr>
            <w:tcW w:w="993" w:type="dxa"/>
            <w:tcBorders>
              <w:top w:val="nil"/>
              <w:left w:val="nil"/>
              <w:bottom w:val="single" w:sz="4" w:space="0" w:color="auto"/>
              <w:right w:val="single" w:sz="4" w:space="0" w:color="auto"/>
            </w:tcBorders>
            <w:shd w:val="clear" w:color="auto" w:fill="FF0000"/>
            <w:noWrap/>
            <w:vAlign w:val="bottom"/>
          </w:tcPr>
          <w:p w14:paraId="05CE367B"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FF0000"/>
            <w:noWrap/>
            <w:vAlign w:val="bottom"/>
          </w:tcPr>
          <w:p w14:paraId="530CB944" w14:textId="77777777" w:rsidR="00AD3351" w:rsidRPr="001E14DE" w:rsidRDefault="00AD3351" w:rsidP="0087212A">
            <w:pPr>
              <w:pStyle w:val="NoSpacing"/>
              <w:jc w:val="center"/>
              <w:rPr>
                <w:rFonts w:ascii="Times New Roman" w:hAnsi="Times New Roman"/>
                <w:sz w:val="24"/>
                <w:szCs w:val="24"/>
                <w:lang w:val="en-US" w:eastAsia="en-GB"/>
              </w:rPr>
            </w:pPr>
          </w:p>
        </w:tc>
      </w:tr>
      <w:tr w:rsidR="00AD3351" w:rsidRPr="001E14DE" w14:paraId="6F10A0CF"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7EFEA41F"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2</w:t>
            </w:r>
          </w:p>
        </w:tc>
        <w:tc>
          <w:tcPr>
            <w:tcW w:w="1106" w:type="dxa"/>
            <w:tcBorders>
              <w:top w:val="nil"/>
              <w:left w:val="nil"/>
              <w:bottom w:val="single" w:sz="4" w:space="0" w:color="auto"/>
              <w:right w:val="single" w:sz="4" w:space="0" w:color="auto"/>
            </w:tcBorders>
            <w:noWrap/>
            <w:vAlign w:val="bottom"/>
            <w:hideMark/>
          </w:tcPr>
          <w:p w14:paraId="09EB31C0"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76923C"/>
            <w:noWrap/>
            <w:vAlign w:val="bottom"/>
            <w:hideMark/>
          </w:tcPr>
          <w:p w14:paraId="1EE0493A"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shd w:val="clear" w:color="auto" w:fill="FF0000"/>
            <w:noWrap/>
            <w:vAlign w:val="bottom"/>
          </w:tcPr>
          <w:p w14:paraId="1D65EB92" w14:textId="77777777" w:rsidR="00AD3351" w:rsidRPr="001E14DE" w:rsidRDefault="00AD3351" w:rsidP="0087212A">
            <w:pPr>
              <w:pStyle w:val="NoSpacing"/>
              <w:jc w:val="center"/>
              <w:rPr>
                <w:rFonts w:ascii="Times New Roman" w:hAnsi="Times New Roman"/>
                <w:sz w:val="24"/>
                <w:szCs w:val="24"/>
                <w:lang w:val="en-US" w:eastAsia="en-GB"/>
              </w:rPr>
            </w:pPr>
          </w:p>
        </w:tc>
        <w:tc>
          <w:tcPr>
            <w:tcW w:w="993" w:type="dxa"/>
            <w:tcBorders>
              <w:top w:val="nil"/>
              <w:left w:val="nil"/>
              <w:bottom w:val="single" w:sz="4" w:space="0" w:color="auto"/>
              <w:right w:val="single" w:sz="4" w:space="0" w:color="auto"/>
            </w:tcBorders>
            <w:shd w:val="clear" w:color="auto" w:fill="FF0000"/>
            <w:noWrap/>
            <w:vAlign w:val="bottom"/>
          </w:tcPr>
          <w:p w14:paraId="6A0B0E0A"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FF0000"/>
            <w:noWrap/>
            <w:vAlign w:val="bottom"/>
          </w:tcPr>
          <w:p w14:paraId="452672D8" w14:textId="77777777" w:rsidR="00AD3351" w:rsidRPr="001E14DE" w:rsidRDefault="00AD3351" w:rsidP="0087212A">
            <w:pPr>
              <w:pStyle w:val="NoSpacing"/>
              <w:jc w:val="center"/>
              <w:rPr>
                <w:rFonts w:ascii="Times New Roman" w:hAnsi="Times New Roman"/>
                <w:sz w:val="24"/>
                <w:szCs w:val="24"/>
                <w:lang w:val="en-US" w:eastAsia="en-GB"/>
              </w:rPr>
            </w:pPr>
          </w:p>
        </w:tc>
      </w:tr>
      <w:tr w:rsidR="00AD3351" w:rsidRPr="001E14DE" w14:paraId="2117B99C"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6BF604F5"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3</w:t>
            </w:r>
          </w:p>
        </w:tc>
        <w:tc>
          <w:tcPr>
            <w:tcW w:w="1106" w:type="dxa"/>
            <w:tcBorders>
              <w:top w:val="nil"/>
              <w:left w:val="nil"/>
              <w:bottom w:val="single" w:sz="4" w:space="0" w:color="auto"/>
              <w:right w:val="single" w:sz="4" w:space="0" w:color="auto"/>
            </w:tcBorders>
            <w:noWrap/>
            <w:vAlign w:val="bottom"/>
            <w:hideMark/>
          </w:tcPr>
          <w:p w14:paraId="58290A3D"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noWrap/>
            <w:vAlign w:val="bottom"/>
            <w:hideMark/>
          </w:tcPr>
          <w:p w14:paraId="397A9AE8"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shd w:val="clear" w:color="auto" w:fill="76923C"/>
            <w:noWrap/>
            <w:vAlign w:val="bottom"/>
          </w:tcPr>
          <w:p w14:paraId="2F957A78" w14:textId="77777777" w:rsidR="00AD3351" w:rsidRPr="001E14DE" w:rsidRDefault="00AD3351" w:rsidP="0087212A">
            <w:pPr>
              <w:pStyle w:val="NoSpacing"/>
              <w:jc w:val="center"/>
              <w:rPr>
                <w:rFonts w:ascii="Times New Roman" w:hAnsi="Times New Roman"/>
                <w:sz w:val="24"/>
                <w:szCs w:val="24"/>
                <w:lang w:val="en-US" w:eastAsia="en-GB"/>
              </w:rPr>
            </w:pPr>
          </w:p>
        </w:tc>
        <w:tc>
          <w:tcPr>
            <w:tcW w:w="993" w:type="dxa"/>
            <w:tcBorders>
              <w:top w:val="nil"/>
              <w:left w:val="nil"/>
              <w:bottom w:val="single" w:sz="4" w:space="0" w:color="auto"/>
              <w:right w:val="single" w:sz="4" w:space="0" w:color="auto"/>
            </w:tcBorders>
            <w:shd w:val="clear" w:color="auto" w:fill="FF0000"/>
            <w:noWrap/>
            <w:vAlign w:val="bottom"/>
          </w:tcPr>
          <w:p w14:paraId="14880C50"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FF0000"/>
            <w:noWrap/>
            <w:vAlign w:val="bottom"/>
          </w:tcPr>
          <w:p w14:paraId="424D0DD0" w14:textId="77777777" w:rsidR="00AD3351" w:rsidRPr="001E14DE" w:rsidRDefault="00AD3351" w:rsidP="0087212A">
            <w:pPr>
              <w:pStyle w:val="NoSpacing"/>
              <w:jc w:val="center"/>
              <w:rPr>
                <w:rFonts w:ascii="Times New Roman" w:hAnsi="Times New Roman"/>
                <w:sz w:val="24"/>
                <w:szCs w:val="24"/>
                <w:lang w:val="en-US" w:eastAsia="en-GB"/>
              </w:rPr>
            </w:pPr>
          </w:p>
        </w:tc>
      </w:tr>
      <w:tr w:rsidR="00AD3351" w:rsidRPr="001E14DE" w14:paraId="417FC3AB"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26384F5E"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4</w:t>
            </w:r>
          </w:p>
        </w:tc>
        <w:tc>
          <w:tcPr>
            <w:tcW w:w="1106" w:type="dxa"/>
            <w:tcBorders>
              <w:top w:val="nil"/>
              <w:left w:val="nil"/>
              <w:bottom w:val="single" w:sz="4" w:space="0" w:color="auto"/>
              <w:right w:val="single" w:sz="4" w:space="0" w:color="auto"/>
            </w:tcBorders>
            <w:noWrap/>
            <w:vAlign w:val="bottom"/>
            <w:hideMark/>
          </w:tcPr>
          <w:p w14:paraId="59499DBE"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noWrap/>
            <w:vAlign w:val="bottom"/>
            <w:hideMark/>
          </w:tcPr>
          <w:p w14:paraId="78355EA2"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noWrap/>
            <w:vAlign w:val="bottom"/>
          </w:tcPr>
          <w:p w14:paraId="327C5A2C" w14:textId="77777777" w:rsidR="00AD3351" w:rsidRPr="001E14DE" w:rsidRDefault="00AD3351" w:rsidP="0087212A">
            <w:pPr>
              <w:pStyle w:val="NoSpacing"/>
              <w:jc w:val="center"/>
              <w:rPr>
                <w:rFonts w:ascii="Times New Roman" w:hAnsi="Times New Roman"/>
                <w:sz w:val="24"/>
                <w:szCs w:val="24"/>
                <w:lang w:val="en-US" w:eastAsia="en-GB"/>
              </w:rPr>
            </w:pPr>
          </w:p>
        </w:tc>
        <w:tc>
          <w:tcPr>
            <w:tcW w:w="993" w:type="dxa"/>
            <w:tcBorders>
              <w:top w:val="nil"/>
              <w:left w:val="nil"/>
              <w:bottom w:val="single" w:sz="4" w:space="0" w:color="auto"/>
              <w:right w:val="single" w:sz="4" w:space="0" w:color="auto"/>
            </w:tcBorders>
            <w:shd w:val="clear" w:color="auto" w:fill="76923C"/>
            <w:noWrap/>
            <w:vAlign w:val="bottom"/>
          </w:tcPr>
          <w:p w14:paraId="679C246C"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FF0000"/>
            <w:noWrap/>
            <w:vAlign w:val="bottom"/>
          </w:tcPr>
          <w:p w14:paraId="6C2E264A" w14:textId="77777777" w:rsidR="00AD3351" w:rsidRPr="001E14DE" w:rsidRDefault="00AD3351" w:rsidP="0087212A">
            <w:pPr>
              <w:pStyle w:val="NoSpacing"/>
              <w:jc w:val="center"/>
              <w:rPr>
                <w:rFonts w:ascii="Times New Roman" w:hAnsi="Times New Roman"/>
                <w:sz w:val="24"/>
                <w:szCs w:val="24"/>
                <w:lang w:val="en-US" w:eastAsia="en-GB"/>
              </w:rPr>
            </w:pPr>
          </w:p>
        </w:tc>
      </w:tr>
      <w:tr w:rsidR="00AD3351" w:rsidRPr="001E14DE" w14:paraId="77E53EA8"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5D82486B"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5</w:t>
            </w:r>
          </w:p>
        </w:tc>
        <w:tc>
          <w:tcPr>
            <w:tcW w:w="1106" w:type="dxa"/>
            <w:tcBorders>
              <w:top w:val="nil"/>
              <w:left w:val="nil"/>
              <w:bottom w:val="single" w:sz="4" w:space="0" w:color="auto"/>
              <w:right w:val="single" w:sz="4" w:space="0" w:color="auto"/>
            </w:tcBorders>
            <w:noWrap/>
            <w:vAlign w:val="bottom"/>
            <w:hideMark/>
          </w:tcPr>
          <w:p w14:paraId="6A210DC8"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noWrap/>
            <w:vAlign w:val="bottom"/>
            <w:hideMark/>
          </w:tcPr>
          <w:p w14:paraId="111A947D"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noWrap/>
            <w:vAlign w:val="bottom"/>
          </w:tcPr>
          <w:p w14:paraId="43BF494A" w14:textId="77777777" w:rsidR="00AD3351" w:rsidRPr="001E14DE" w:rsidRDefault="00AD3351" w:rsidP="0087212A">
            <w:pPr>
              <w:pStyle w:val="NoSpacing"/>
              <w:jc w:val="center"/>
              <w:rPr>
                <w:rFonts w:ascii="Times New Roman" w:hAnsi="Times New Roman"/>
                <w:sz w:val="24"/>
                <w:szCs w:val="24"/>
                <w:lang w:val="en-US" w:eastAsia="en-GB"/>
              </w:rPr>
            </w:pPr>
          </w:p>
        </w:tc>
        <w:tc>
          <w:tcPr>
            <w:tcW w:w="993" w:type="dxa"/>
            <w:tcBorders>
              <w:top w:val="nil"/>
              <w:left w:val="nil"/>
              <w:bottom w:val="single" w:sz="4" w:space="0" w:color="auto"/>
              <w:right w:val="single" w:sz="4" w:space="0" w:color="auto"/>
            </w:tcBorders>
            <w:noWrap/>
            <w:vAlign w:val="bottom"/>
          </w:tcPr>
          <w:p w14:paraId="1C6B7979"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76923C"/>
            <w:noWrap/>
            <w:vAlign w:val="bottom"/>
          </w:tcPr>
          <w:p w14:paraId="621FC569" w14:textId="77777777" w:rsidR="00AD3351" w:rsidRPr="001E14DE" w:rsidRDefault="00AD3351" w:rsidP="0087212A">
            <w:pPr>
              <w:pStyle w:val="NoSpacing"/>
              <w:jc w:val="center"/>
              <w:rPr>
                <w:rFonts w:ascii="Times New Roman" w:hAnsi="Times New Roman"/>
                <w:sz w:val="24"/>
                <w:szCs w:val="24"/>
                <w:lang w:val="en-US" w:eastAsia="en-GB"/>
              </w:rPr>
            </w:pPr>
          </w:p>
        </w:tc>
      </w:tr>
    </w:tbl>
    <w:p w14:paraId="30A1BA5A" w14:textId="77777777" w:rsidR="00AD3351" w:rsidRDefault="00AD3351" w:rsidP="001E14DE">
      <w:pPr>
        <w:spacing w:before="120" w:after="120"/>
        <w:rPr>
          <w:lang w:val="en-IE"/>
        </w:rPr>
      </w:pPr>
      <w:r w:rsidRPr="001E14DE">
        <w:rPr>
          <w:szCs w:val="24"/>
          <w:lang w:val="en-IE"/>
        </w:rPr>
        <w:t>In this example, there are more than two red cells (no</w:t>
      </w:r>
      <w:r>
        <w:rPr>
          <w:lang w:val="en-IE"/>
        </w:rPr>
        <w:t xml:space="preserve">n-similar pairs of uses), and therefore not all five uses could be included in the same family.  </w:t>
      </w:r>
    </w:p>
    <w:p w14:paraId="4776EA55" w14:textId="77777777" w:rsidR="00AD3351" w:rsidRDefault="00AD3351" w:rsidP="001E14DE">
      <w:pPr>
        <w:spacing w:after="0"/>
        <w:rPr>
          <w:lang w:val="en-IE"/>
        </w:rPr>
      </w:pPr>
      <w:r>
        <w:rPr>
          <w:lang w:val="en-IE"/>
        </w:rPr>
        <w:t xml:space="preserve">One of the possible options would be having two families with the structure given below:  </w:t>
      </w:r>
    </w:p>
    <w:p w14:paraId="38089E57" w14:textId="77777777" w:rsidR="00AD3351" w:rsidRPr="001E14DE" w:rsidRDefault="00AD3351" w:rsidP="00133C1C">
      <w:pPr>
        <w:pStyle w:val="ListParagraph"/>
        <w:numPr>
          <w:ilvl w:val="0"/>
          <w:numId w:val="23"/>
        </w:numPr>
        <w:rPr>
          <w:rFonts w:ascii="Times New Roman" w:hAnsi="Times New Roman"/>
          <w:sz w:val="24"/>
          <w:szCs w:val="24"/>
          <w:lang w:val="en-IE"/>
        </w:rPr>
      </w:pPr>
      <w:r w:rsidRPr="001E14DE">
        <w:rPr>
          <w:rFonts w:ascii="Times New Roman" w:hAnsi="Times New Roman"/>
          <w:sz w:val="24"/>
          <w:szCs w:val="24"/>
          <w:lang w:val="en-IE"/>
        </w:rPr>
        <w:t>Family 1:It includes “use 1”, “use 2” and “use 3” where exception (1) has been applied two times to consider as similar the pairs of uses “use 1/use 3” and “use 2/use 3”.</w:t>
      </w:r>
      <w:r w:rsidRPr="001E14DE">
        <w:rPr>
          <w:rFonts w:ascii="Times New Roman" w:hAnsi="Times New Roman"/>
          <w:noProof/>
          <w:sz w:val="24"/>
          <w:szCs w:val="24"/>
          <w:lang w:eastAsia="en-GB"/>
        </w:rPr>
        <w:t xml:space="preserve"> </w:t>
      </w:r>
    </w:p>
    <w:tbl>
      <w:tblPr>
        <w:tblW w:w="8503" w:type="dxa"/>
        <w:tblInd w:w="704" w:type="dxa"/>
        <w:tblLook w:val="04A0" w:firstRow="1" w:lastRow="0" w:firstColumn="1" w:lastColumn="0" w:noHBand="0" w:noVBand="1"/>
      </w:tblPr>
      <w:tblGrid>
        <w:gridCol w:w="960"/>
        <w:gridCol w:w="1106"/>
        <w:gridCol w:w="992"/>
        <w:gridCol w:w="850"/>
        <w:gridCol w:w="1195"/>
        <w:gridCol w:w="850"/>
        <w:gridCol w:w="850"/>
        <w:gridCol w:w="850"/>
        <w:gridCol w:w="850"/>
      </w:tblGrid>
      <w:tr w:rsidR="00AD3351" w:rsidRPr="001E14DE" w14:paraId="390F6102" w14:textId="77777777" w:rsidTr="0087212A">
        <w:trPr>
          <w:trHeight w:val="227"/>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DAF32D1" w14:textId="77777777" w:rsidR="00AD3351" w:rsidRPr="001E14DE" w:rsidRDefault="00AD3351" w:rsidP="0087212A">
            <w:pPr>
              <w:pStyle w:val="NoSpacing"/>
              <w:jc w:val="center"/>
              <w:rPr>
                <w:rFonts w:ascii="Times New Roman" w:hAnsi="Times New Roman"/>
                <w:sz w:val="24"/>
                <w:szCs w:val="24"/>
                <w:lang w:val="en-US" w:eastAsia="en-GB"/>
              </w:rPr>
            </w:pPr>
          </w:p>
        </w:tc>
        <w:tc>
          <w:tcPr>
            <w:tcW w:w="1106" w:type="dxa"/>
            <w:tcBorders>
              <w:top w:val="single" w:sz="4" w:space="0" w:color="auto"/>
              <w:left w:val="nil"/>
              <w:bottom w:val="single" w:sz="4" w:space="0" w:color="auto"/>
              <w:right w:val="single" w:sz="4" w:space="0" w:color="auto"/>
            </w:tcBorders>
            <w:noWrap/>
            <w:vAlign w:val="bottom"/>
            <w:hideMark/>
          </w:tcPr>
          <w:p w14:paraId="053D5325"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1</w:t>
            </w:r>
          </w:p>
        </w:tc>
        <w:tc>
          <w:tcPr>
            <w:tcW w:w="992" w:type="dxa"/>
            <w:tcBorders>
              <w:top w:val="single" w:sz="4" w:space="0" w:color="auto"/>
              <w:left w:val="nil"/>
              <w:bottom w:val="single" w:sz="4" w:space="0" w:color="auto"/>
              <w:right w:val="single" w:sz="4" w:space="0" w:color="auto"/>
            </w:tcBorders>
            <w:noWrap/>
            <w:vAlign w:val="bottom"/>
            <w:hideMark/>
          </w:tcPr>
          <w:p w14:paraId="1CAB7667"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2</w:t>
            </w:r>
          </w:p>
        </w:tc>
        <w:tc>
          <w:tcPr>
            <w:tcW w:w="850" w:type="dxa"/>
            <w:tcBorders>
              <w:top w:val="single" w:sz="4" w:space="0" w:color="auto"/>
              <w:left w:val="nil"/>
              <w:bottom w:val="single" w:sz="4" w:space="0" w:color="auto"/>
              <w:right w:val="single" w:sz="4" w:space="0" w:color="auto"/>
            </w:tcBorders>
            <w:noWrap/>
            <w:vAlign w:val="bottom"/>
            <w:hideMark/>
          </w:tcPr>
          <w:p w14:paraId="78EA1D97"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3</w:t>
            </w:r>
          </w:p>
        </w:tc>
        <w:tc>
          <w:tcPr>
            <w:tcW w:w="1195" w:type="dxa"/>
            <w:tcBorders>
              <w:left w:val="single" w:sz="4" w:space="0" w:color="auto"/>
              <w:right w:val="single" w:sz="4" w:space="0" w:color="auto"/>
            </w:tcBorders>
            <w:shd w:val="clear" w:color="auto" w:fill="auto"/>
          </w:tcPr>
          <w:p w14:paraId="487E1155"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noProof/>
                <w:sz w:val="24"/>
                <w:szCs w:val="24"/>
                <w:lang w:val="fr-BE" w:eastAsia="fr-BE"/>
              </w:rPr>
              <mc:AlternateContent>
                <mc:Choice Requires="wps">
                  <w:drawing>
                    <wp:anchor distT="45720" distB="45720" distL="114300" distR="114300" simplePos="0" relativeHeight="251660288" behindDoc="0" locked="0" layoutInCell="1" allowOverlap="1" wp14:anchorId="6CD802A2" wp14:editId="35E9E09C">
                      <wp:simplePos x="0" y="0"/>
                      <wp:positionH relativeFrom="column">
                        <wp:posOffset>-84375</wp:posOffset>
                      </wp:positionH>
                      <wp:positionV relativeFrom="paragraph">
                        <wp:posOffset>39265</wp:posOffset>
                      </wp:positionV>
                      <wp:extent cx="81360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600" cy="1404620"/>
                              </a:xfrm>
                              <a:prstGeom prst="rect">
                                <a:avLst/>
                              </a:prstGeom>
                              <a:noFill/>
                              <a:ln w="9525">
                                <a:noFill/>
                                <a:miter lim="800000"/>
                                <a:headEnd/>
                                <a:tailEnd/>
                              </a:ln>
                            </wps:spPr>
                            <wps:txbx>
                              <w:txbxContent>
                                <w:p w14:paraId="6A578E2A" w14:textId="77777777" w:rsidR="00197580" w:rsidRPr="00C318AE" w:rsidRDefault="00197580" w:rsidP="00AD3351">
                                  <w:pPr>
                                    <w:rPr>
                                      <w:sz w:val="16"/>
                                      <w:szCs w:val="16"/>
                                    </w:rPr>
                                  </w:pPr>
                                  <w:r w:rsidRPr="00C318AE">
                                    <w:rPr>
                                      <w:sz w:val="16"/>
                                      <w:szCs w:val="16"/>
                                    </w:rPr>
                                    <w:t>Exception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CD802A2" id="_x0000_t202" coordsize="21600,21600" o:spt="202" path="m,l,21600r21600,l21600,xe">
                      <v:stroke joinstyle="miter"/>
                      <v:path gradientshapeok="t" o:connecttype="rect"/>
                    </v:shapetype>
                    <v:shape id="Text Box 2" o:spid="_x0000_s1026" type="#_x0000_t202" style="position:absolute;left:0;text-align:left;margin-left:-6.65pt;margin-top:3.1pt;width:64.0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" filled="f" stroked="f">
                      <v:textbox style="mso-fit-shape-to-text:t">
                        <w:txbxContent>
                          <w:p w14:paraId="6A578E2A" w14:textId="77777777" w:rsidR="00197580" w:rsidRPr="00C318AE" w:rsidRDefault="00197580" w:rsidP="00AD3351">
                            <w:pPr>
                              <w:rPr>
                                <w:sz w:val="16"/>
                                <w:szCs w:val="16"/>
                              </w:rPr>
                            </w:pPr>
                            <w:r w:rsidRPr="00C318AE">
                              <w:rPr>
                                <w:sz w:val="16"/>
                                <w:szCs w:val="16"/>
                              </w:rPr>
                              <w:t>Exception</w:t>
                            </w:r>
                          </w:p>
                        </w:txbxContent>
                      </v:textbox>
                    </v:shape>
                  </w:pict>
                </mc:Fallback>
              </mc:AlternateConten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76BBDE0"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single" w:sz="4" w:space="0" w:color="auto"/>
              <w:left w:val="nil"/>
              <w:bottom w:val="single" w:sz="4" w:space="0" w:color="auto"/>
              <w:right w:val="single" w:sz="4" w:space="0" w:color="auto"/>
            </w:tcBorders>
            <w:vAlign w:val="bottom"/>
          </w:tcPr>
          <w:p w14:paraId="6B60059A"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1</w:t>
            </w:r>
          </w:p>
        </w:tc>
        <w:tc>
          <w:tcPr>
            <w:tcW w:w="850" w:type="dxa"/>
            <w:tcBorders>
              <w:top w:val="single" w:sz="4" w:space="0" w:color="auto"/>
              <w:left w:val="nil"/>
              <w:bottom w:val="single" w:sz="4" w:space="0" w:color="auto"/>
              <w:right w:val="single" w:sz="4" w:space="0" w:color="auto"/>
            </w:tcBorders>
            <w:vAlign w:val="bottom"/>
          </w:tcPr>
          <w:p w14:paraId="5DC3CCDF"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2</w:t>
            </w:r>
          </w:p>
        </w:tc>
        <w:tc>
          <w:tcPr>
            <w:tcW w:w="850" w:type="dxa"/>
            <w:tcBorders>
              <w:top w:val="single" w:sz="4" w:space="0" w:color="auto"/>
              <w:left w:val="nil"/>
              <w:bottom w:val="single" w:sz="4" w:space="0" w:color="auto"/>
              <w:right w:val="single" w:sz="4" w:space="0" w:color="auto"/>
            </w:tcBorders>
            <w:vAlign w:val="bottom"/>
          </w:tcPr>
          <w:p w14:paraId="3B975E74"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3</w:t>
            </w:r>
          </w:p>
        </w:tc>
      </w:tr>
      <w:tr w:rsidR="00AD3351" w:rsidRPr="001E14DE" w14:paraId="7A6036B4"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1E094D8A"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1</w:t>
            </w:r>
          </w:p>
        </w:tc>
        <w:tc>
          <w:tcPr>
            <w:tcW w:w="1106" w:type="dxa"/>
            <w:tcBorders>
              <w:top w:val="nil"/>
              <w:left w:val="nil"/>
              <w:bottom w:val="single" w:sz="4" w:space="0" w:color="auto"/>
              <w:right w:val="single" w:sz="4" w:space="0" w:color="auto"/>
            </w:tcBorders>
            <w:shd w:val="clear" w:color="auto" w:fill="76923C"/>
            <w:noWrap/>
            <w:vAlign w:val="bottom"/>
            <w:hideMark/>
          </w:tcPr>
          <w:p w14:paraId="65F0695E"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76923C"/>
            <w:noWrap/>
            <w:vAlign w:val="bottom"/>
            <w:hideMark/>
          </w:tcPr>
          <w:p w14:paraId="53072ADE"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single" w:sz="4" w:space="0" w:color="auto"/>
              <w:left w:val="nil"/>
              <w:bottom w:val="single" w:sz="4" w:space="0" w:color="auto"/>
              <w:right w:val="single" w:sz="4" w:space="0" w:color="auto"/>
            </w:tcBorders>
            <w:shd w:val="clear" w:color="auto" w:fill="FF0000"/>
            <w:noWrap/>
            <w:vAlign w:val="bottom"/>
          </w:tcPr>
          <w:p w14:paraId="550459D1" w14:textId="77777777" w:rsidR="00AD3351" w:rsidRPr="001E14DE" w:rsidRDefault="00AD3351" w:rsidP="0087212A">
            <w:pPr>
              <w:pStyle w:val="NoSpacing"/>
              <w:jc w:val="center"/>
              <w:rPr>
                <w:rFonts w:ascii="Times New Roman" w:hAnsi="Times New Roman"/>
                <w:sz w:val="24"/>
                <w:szCs w:val="24"/>
                <w:lang w:val="en-US" w:eastAsia="en-GB"/>
              </w:rPr>
            </w:pPr>
          </w:p>
        </w:tc>
        <w:tc>
          <w:tcPr>
            <w:tcW w:w="1195" w:type="dxa"/>
            <w:tcBorders>
              <w:top w:val="nil"/>
              <w:left w:val="single" w:sz="4" w:space="0" w:color="auto"/>
              <w:right w:val="single" w:sz="4" w:space="0" w:color="auto"/>
            </w:tcBorders>
            <w:shd w:val="clear" w:color="auto" w:fill="auto"/>
          </w:tcPr>
          <w:p w14:paraId="22F69898"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948C7BF"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1</w:t>
            </w:r>
          </w:p>
        </w:tc>
        <w:tc>
          <w:tcPr>
            <w:tcW w:w="850" w:type="dxa"/>
            <w:tcBorders>
              <w:top w:val="single" w:sz="4" w:space="0" w:color="auto"/>
              <w:left w:val="nil"/>
              <w:bottom w:val="single" w:sz="4" w:space="0" w:color="auto"/>
              <w:right w:val="single" w:sz="4" w:space="0" w:color="auto"/>
            </w:tcBorders>
            <w:shd w:val="clear" w:color="auto" w:fill="76923C"/>
            <w:vAlign w:val="bottom"/>
          </w:tcPr>
          <w:p w14:paraId="2823E3FF"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shd w:val="clear" w:color="auto" w:fill="76923C"/>
            <w:vAlign w:val="bottom"/>
          </w:tcPr>
          <w:p w14:paraId="03EE7FE9"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shd w:val="clear" w:color="auto" w:fill="76923C"/>
            <w:vAlign w:val="bottom"/>
          </w:tcPr>
          <w:p w14:paraId="6FADD20D" w14:textId="77777777" w:rsidR="00AD3351" w:rsidRPr="001E14DE" w:rsidRDefault="00AD3351" w:rsidP="0087212A">
            <w:pPr>
              <w:pStyle w:val="NoSpacing"/>
              <w:jc w:val="center"/>
              <w:rPr>
                <w:rFonts w:ascii="Times New Roman" w:hAnsi="Times New Roman"/>
                <w:sz w:val="24"/>
                <w:szCs w:val="24"/>
                <w:lang w:val="en-US" w:eastAsia="en-GB"/>
              </w:rPr>
            </w:pPr>
          </w:p>
        </w:tc>
      </w:tr>
      <w:tr w:rsidR="00AD3351" w:rsidRPr="001E14DE" w14:paraId="53F5E34B"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581F8C81"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2</w:t>
            </w:r>
          </w:p>
        </w:tc>
        <w:tc>
          <w:tcPr>
            <w:tcW w:w="1106" w:type="dxa"/>
            <w:tcBorders>
              <w:top w:val="nil"/>
              <w:left w:val="nil"/>
              <w:bottom w:val="single" w:sz="4" w:space="0" w:color="auto"/>
              <w:right w:val="single" w:sz="4" w:space="0" w:color="auto"/>
            </w:tcBorders>
            <w:noWrap/>
            <w:vAlign w:val="bottom"/>
            <w:hideMark/>
          </w:tcPr>
          <w:p w14:paraId="4D5E071B"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76923C"/>
            <w:noWrap/>
            <w:vAlign w:val="bottom"/>
            <w:hideMark/>
          </w:tcPr>
          <w:p w14:paraId="2B437346"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single" w:sz="4" w:space="0" w:color="auto"/>
              <w:left w:val="nil"/>
              <w:bottom w:val="single" w:sz="4" w:space="0" w:color="auto"/>
              <w:right w:val="single" w:sz="4" w:space="0" w:color="auto"/>
            </w:tcBorders>
            <w:shd w:val="clear" w:color="auto" w:fill="FF0000"/>
            <w:noWrap/>
            <w:vAlign w:val="bottom"/>
          </w:tcPr>
          <w:p w14:paraId="55A9FD73" w14:textId="77777777" w:rsidR="00AD3351" w:rsidRPr="001E14DE" w:rsidRDefault="00AD3351" w:rsidP="0087212A">
            <w:pPr>
              <w:pStyle w:val="NoSpacing"/>
              <w:jc w:val="center"/>
              <w:rPr>
                <w:rFonts w:ascii="Times New Roman" w:hAnsi="Times New Roman"/>
                <w:sz w:val="24"/>
                <w:szCs w:val="24"/>
                <w:lang w:val="en-US" w:eastAsia="en-GB"/>
              </w:rPr>
            </w:pPr>
          </w:p>
        </w:tc>
        <w:tc>
          <w:tcPr>
            <w:tcW w:w="1195" w:type="dxa"/>
            <w:tcBorders>
              <w:top w:val="nil"/>
              <w:left w:val="single" w:sz="4" w:space="0" w:color="auto"/>
              <w:right w:val="single" w:sz="4" w:space="0" w:color="auto"/>
            </w:tcBorders>
            <w:shd w:val="clear" w:color="auto" w:fill="auto"/>
          </w:tcPr>
          <w:p w14:paraId="756D0761"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noProof/>
                <w:snapToGrid/>
                <w:sz w:val="24"/>
                <w:szCs w:val="24"/>
                <w:lang w:val="fr-BE" w:eastAsia="fr-BE"/>
              </w:rPr>
              <mc:AlternateContent>
                <mc:Choice Requires="wps">
                  <w:drawing>
                    <wp:anchor distT="0" distB="0" distL="114300" distR="114300" simplePos="0" relativeHeight="251654144" behindDoc="0" locked="0" layoutInCell="1" allowOverlap="1" wp14:anchorId="685A9FE7" wp14:editId="77B55BF2">
                      <wp:simplePos x="0" y="0"/>
                      <wp:positionH relativeFrom="column">
                        <wp:posOffset>-26185</wp:posOffset>
                      </wp:positionH>
                      <wp:positionV relativeFrom="paragraph">
                        <wp:posOffset>6525</wp:posOffset>
                      </wp:positionV>
                      <wp:extent cx="684000" cy="0"/>
                      <wp:effectExtent l="0" t="76200" r="20955" b="95250"/>
                      <wp:wrapNone/>
                      <wp:docPr id="2" name="Straight Arrow Connector 2"/>
                      <wp:cNvGraphicFramePr/>
                      <a:graphic xmlns:a="http://schemas.openxmlformats.org/drawingml/2006/main">
                        <a:graphicData uri="http://schemas.microsoft.com/office/word/2010/wordprocessingShape">
                          <wps:wsp>
                            <wps:cNvCnPr/>
                            <wps:spPr>
                              <a:xfrm>
                                <a:off x="0" y="0"/>
                                <a:ext cx="684000" cy="0"/>
                              </a:xfrm>
                              <a:prstGeom prst="straightConnector1">
                                <a:avLst/>
                              </a:prstGeom>
                              <a:noFill/>
                              <a:ln w="25400" cap="flat" cmpd="sng" algn="ctr">
                                <a:solidFill>
                                  <a:sysClr val="windowText" lastClr="000000"/>
                                </a:solidFill>
                                <a:prstDash val="solid"/>
                                <a:tailEnd type="triangle"/>
                              </a:ln>
                              <a:effectLst/>
                            </wps:spPr>
                            <wps:bodyPr/>
                          </wps:wsp>
                        </a:graphicData>
                      </a:graphic>
                    </wp:anchor>
                  </w:drawing>
                </mc:Choice>
                <mc:Fallback>
                  <w:pict>
                    <v:shapetype w14:anchorId="20CB31CF" id="_x0000_t32" coordsize="21600,21600" o:spt="32" o:oned="t" path="m,l21600,21600e" filled="f">
                      <v:path arrowok="t" fillok="f" o:connecttype="none"/>
                      <o:lock v:ext="edit" shapetype="t"/>
                    </v:shapetype>
                    <v:shape id="Straight Arrow Connector 2" o:spid="_x0000_s1026" type="#_x0000_t32" style="position:absolute;margin-left:-2.05pt;margin-top:.5pt;width:53.85pt;height:0;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" strokecolor="windowText" strokeweight="2pt">
                      <v:stroke endarrow="block"/>
                    </v:shape>
                  </w:pict>
                </mc:Fallback>
              </mc:AlternateConten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2C115F0"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2</w:t>
            </w:r>
          </w:p>
        </w:tc>
        <w:tc>
          <w:tcPr>
            <w:tcW w:w="850" w:type="dxa"/>
            <w:tcBorders>
              <w:top w:val="single" w:sz="4" w:space="0" w:color="auto"/>
              <w:left w:val="nil"/>
              <w:bottom w:val="single" w:sz="4" w:space="0" w:color="auto"/>
              <w:right w:val="single" w:sz="4" w:space="0" w:color="auto"/>
            </w:tcBorders>
            <w:shd w:val="clear" w:color="auto" w:fill="auto"/>
            <w:vAlign w:val="bottom"/>
          </w:tcPr>
          <w:p w14:paraId="74738235"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shd w:val="clear" w:color="auto" w:fill="76923C"/>
            <w:vAlign w:val="bottom"/>
          </w:tcPr>
          <w:p w14:paraId="0E572C5C"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shd w:val="clear" w:color="auto" w:fill="76923C"/>
            <w:vAlign w:val="bottom"/>
          </w:tcPr>
          <w:p w14:paraId="414D77B3" w14:textId="77777777" w:rsidR="00AD3351" w:rsidRPr="001E14DE" w:rsidRDefault="00AD3351" w:rsidP="0087212A">
            <w:pPr>
              <w:pStyle w:val="NoSpacing"/>
              <w:jc w:val="center"/>
              <w:rPr>
                <w:rFonts w:ascii="Times New Roman" w:hAnsi="Times New Roman"/>
                <w:sz w:val="24"/>
                <w:szCs w:val="24"/>
                <w:lang w:val="en-US" w:eastAsia="en-GB"/>
              </w:rPr>
            </w:pPr>
          </w:p>
        </w:tc>
      </w:tr>
      <w:tr w:rsidR="00AD3351" w:rsidRPr="001E14DE" w14:paraId="3E2AE984"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1B1DA936"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3</w:t>
            </w:r>
          </w:p>
        </w:tc>
        <w:tc>
          <w:tcPr>
            <w:tcW w:w="1106" w:type="dxa"/>
            <w:tcBorders>
              <w:top w:val="nil"/>
              <w:left w:val="nil"/>
              <w:bottom w:val="single" w:sz="4" w:space="0" w:color="auto"/>
              <w:right w:val="single" w:sz="4" w:space="0" w:color="auto"/>
            </w:tcBorders>
            <w:noWrap/>
            <w:vAlign w:val="bottom"/>
            <w:hideMark/>
          </w:tcPr>
          <w:p w14:paraId="5BF144D9"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noWrap/>
            <w:vAlign w:val="bottom"/>
            <w:hideMark/>
          </w:tcPr>
          <w:p w14:paraId="51EB1691"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single" w:sz="4" w:space="0" w:color="auto"/>
              <w:left w:val="nil"/>
              <w:bottom w:val="single" w:sz="4" w:space="0" w:color="auto"/>
              <w:right w:val="single" w:sz="4" w:space="0" w:color="auto"/>
            </w:tcBorders>
            <w:shd w:val="clear" w:color="auto" w:fill="76923C"/>
            <w:noWrap/>
            <w:vAlign w:val="bottom"/>
            <w:hideMark/>
          </w:tcPr>
          <w:p w14:paraId="42CD9B6E" w14:textId="77777777" w:rsidR="00AD3351" w:rsidRPr="001E14DE" w:rsidRDefault="00AD3351" w:rsidP="0087212A">
            <w:pPr>
              <w:pStyle w:val="NoSpacing"/>
              <w:jc w:val="center"/>
              <w:rPr>
                <w:rFonts w:ascii="Times New Roman" w:hAnsi="Times New Roman"/>
                <w:sz w:val="24"/>
                <w:szCs w:val="24"/>
                <w:lang w:val="en-US" w:eastAsia="en-GB"/>
              </w:rPr>
            </w:pPr>
          </w:p>
        </w:tc>
        <w:tc>
          <w:tcPr>
            <w:tcW w:w="1195" w:type="dxa"/>
            <w:tcBorders>
              <w:top w:val="nil"/>
              <w:left w:val="single" w:sz="4" w:space="0" w:color="auto"/>
              <w:right w:val="single" w:sz="4" w:space="0" w:color="auto"/>
            </w:tcBorders>
            <w:shd w:val="clear" w:color="auto" w:fill="auto"/>
          </w:tcPr>
          <w:p w14:paraId="64D0B43C"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9F4381"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3</w:t>
            </w:r>
          </w:p>
        </w:tc>
        <w:tc>
          <w:tcPr>
            <w:tcW w:w="850" w:type="dxa"/>
            <w:tcBorders>
              <w:top w:val="single" w:sz="4" w:space="0" w:color="auto"/>
              <w:left w:val="nil"/>
              <w:bottom w:val="single" w:sz="4" w:space="0" w:color="auto"/>
              <w:right w:val="single" w:sz="4" w:space="0" w:color="auto"/>
            </w:tcBorders>
            <w:shd w:val="clear" w:color="auto" w:fill="auto"/>
            <w:vAlign w:val="bottom"/>
          </w:tcPr>
          <w:p w14:paraId="39ED804F"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shd w:val="clear" w:color="auto" w:fill="auto"/>
            <w:vAlign w:val="bottom"/>
          </w:tcPr>
          <w:p w14:paraId="6760255F" w14:textId="77777777" w:rsidR="00AD3351" w:rsidRPr="001E14DE" w:rsidRDefault="00AD3351" w:rsidP="0087212A">
            <w:pPr>
              <w:pStyle w:val="NoSpacing"/>
              <w:jc w:val="center"/>
              <w:rPr>
                <w:rFonts w:ascii="Times New Roman" w:hAnsi="Times New Roman"/>
                <w:sz w:val="24"/>
                <w:szCs w:val="24"/>
                <w:lang w:val="en-US" w:eastAsia="en-GB"/>
              </w:rPr>
            </w:pPr>
          </w:p>
        </w:tc>
        <w:tc>
          <w:tcPr>
            <w:tcW w:w="850" w:type="dxa"/>
            <w:tcBorders>
              <w:top w:val="nil"/>
              <w:left w:val="nil"/>
              <w:bottom w:val="single" w:sz="4" w:space="0" w:color="auto"/>
              <w:right w:val="single" w:sz="4" w:space="0" w:color="auto"/>
            </w:tcBorders>
            <w:shd w:val="clear" w:color="auto" w:fill="76923C"/>
            <w:vAlign w:val="bottom"/>
          </w:tcPr>
          <w:p w14:paraId="6E86A312" w14:textId="77777777" w:rsidR="00AD3351" w:rsidRPr="001E14DE" w:rsidRDefault="00AD3351" w:rsidP="0087212A">
            <w:pPr>
              <w:pStyle w:val="NoSpacing"/>
              <w:jc w:val="center"/>
              <w:rPr>
                <w:rFonts w:ascii="Times New Roman" w:hAnsi="Times New Roman"/>
                <w:sz w:val="24"/>
                <w:szCs w:val="24"/>
                <w:lang w:val="en-US" w:eastAsia="en-GB"/>
              </w:rPr>
            </w:pPr>
          </w:p>
        </w:tc>
      </w:tr>
    </w:tbl>
    <w:p w14:paraId="0F4D5016" w14:textId="77777777" w:rsidR="00AD3351" w:rsidRPr="001E14DE" w:rsidRDefault="00AD3351" w:rsidP="00133C1C">
      <w:pPr>
        <w:pStyle w:val="ListParagraph"/>
        <w:numPr>
          <w:ilvl w:val="0"/>
          <w:numId w:val="23"/>
        </w:numPr>
        <w:rPr>
          <w:rFonts w:ascii="Times New Roman" w:hAnsi="Times New Roman"/>
          <w:sz w:val="24"/>
          <w:szCs w:val="24"/>
          <w:lang w:val="en-IE"/>
        </w:rPr>
      </w:pPr>
      <w:r w:rsidRPr="001E14DE">
        <w:rPr>
          <w:rFonts w:ascii="Times New Roman" w:hAnsi="Times New Roman"/>
          <w:noProof/>
          <w:sz w:val="24"/>
          <w:szCs w:val="24"/>
          <w:lang w:val="fr-BE" w:eastAsia="fr-BE"/>
        </w:rPr>
        <mc:AlternateContent>
          <mc:Choice Requires="wps">
            <w:drawing>
              <wp:anchor distT="45720" distB="45720" distL="114300" distR="114300" simplePos="0" relativeHeight="251658240" behindDoc="0" locked="0" layoutInCell="1" allowOverlap="1" wp14:anchorId="03955CDC" wp14:editId="141826D6">
                <wp:simplePos x="0" y="0"/>
                <wp:positionH relativeFrom="margin">
                  <wp:align>center</wp:align>
                </wp:positionH>
                <wp:positionV relativeFrom="paragraph">
                  <wp:posOffset>456135</wp:posOffset>
                </wp:positionV>
                <wp:extent cx="813600" cy="1404620"/>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600" cy="1404620"/>
                        </a:xfrm>
                        <a:prstGeom prst="rect">
                          <a:avLst/>
                        </a:prstGeom>
                        <a:noFill/>
                        <a:ln w="9525">
                          <a:noFill/>
                          <a:miter lim="800000"/>
                          <a:headEnd/>
                          <a:tailEnd/>
                        </a:ln>
                      </wps:spPr>
                      <wps:txbx>
                        <w:txbxContent>
                          <w:p w14:paraId="607E7891" w14:textId="77777777" w:rsidR="00197580" w:rsidRPr="00C318AE" w:rsidRDefault="00197580" w:rsidP="00AD3351">
                            <w:pPr>
                              <w:rPr>
                                <w:sz w:val="16"/>
                                <w:szCs w:val="16"/>
                              </w:rPr>
                            </w:pPr>
                            <w:r w:rsidRPr="00C318AE">
                              <w:rPr>
                                <w:sz w:val="16"/>
                                <w:szCs w:val="16"/>
                              </w:rPr>
                              <w:t>Exceptions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955CDC" id="_x0000_s1027" type="#_x0000_t202" style="position:absolute;left:0;text-align:left;margin-left:0;margin-top:35.9pt;width:64.05pt;height:110.6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" filled="f" stroked="f">
                <v:textbox style="mso-fit-shape-to-text:t">
                  <w:txbxContent>
                    <w:p w14:paraId="607E7891" w14:textId="77777777" w:rsidR="00197580" w:rsidRPr="00C318AE" w:rsidRDefault="00197580" w:rsidP="00AD3351">
                      <w:pPr>
                        <w:rPr>
                          <w:sz w:val="16"/>
                          <w:szCs w:val="16"/>
                        </w:rPr>
                      </w:pPr>
                      <w:r w:rsidRPr="00C318AE">
                        <w:rPr>
                          <w:sz w:val="16"/>
                          <w:szCs w:val="16"/>
                        </w:rPr>
                        <w:t>Exceptions</w:t>
                      </w:r>
                    </w:p>
                  </w:txbxContent>
                </v:textbox>
                <w10:wrap anchorx="margin"/>
              </v:shape>
            </w:pict>
          </mc:Fallback>
        </mc:AlternateContent>
      </w:r>
      <w:r w:rsidRPr="001E14DE">
        <w:rPr>
          <w:rFonts w:ascii="Times New Roman" w:hAnsi="Times New Roman"/>
          <w:sz w:val="24"/>
          <w:szCs w:val="24"/>
          <w:lang w:val="en-IE"/>
        </w:rPr>
        <w:t>Family 2: Family includes “use 4” and “use 5” where exception (1) has been applied one time to consider as similar the pair of uses “use 4/use 5”</w:t>
      </w:r>
    </w:p>
    <w:tbl>
      <w:tblPr>
        <w:tblW w:w="7495" w:type="dxa"/>
        <w:tblInd w:w="704" w:type="dxa"/>
        <w:tblLook w:val="04A0" w:firstRow="1" w:lastRow="0" w:firstColumn="1" w:lastColumn="0" w:noHBand="0" w:noVBand="1"/>
      </w:tblPr>
      <w:tblGrid>
        <w:gridCol w:w="960"/>
        <w:gridCol w:w="993"/>
        <w:gridCol w:w="992"/>
        <w:gridCol w:w="1574"/>
        <w:gridCol w:w="992"/>
        <w:gridCol w:w="992"/>
        <w:gridCol w:w="992"/>
      </w:tblGrid>
      <w:tr w:rsidR="00AD3351" w:rsidRPr="001E14DE" w14:paraId="433E483B" w14:textId="77777777" w:rsidTr="0087212A">
        <w:trPr>
          <w:trHeight w:val="227"/>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4061B62" w14:textId="77777777" w:rsidR="00AD3351" w:rsidRPr="001E14DE" w:rsidRDefault="00AD3351" w:rsidP="0087212A">
            <w:pPr>
              <w:pStyle w:val="NoSpacing"/>
              <w:jc w:val="center"/>
              <w:rPr>
                <w:rFonts w:ascii="Times New Roman" w:hAnsi="Times New Roman"/>
                <w:sz w:val="24"/>
                <w:szCs w:val="24"/>
                <w:lang w:val="en-US" w:eastAsia="en-GB"/>
              </w:rPr>
            </w:pPr>
          </w:p>
        </w:tc>
        <w:tc>
          <w:tcPr>
            <w:tcW w:w="993" w:type="dxa"/>
            <w:tcBorders>
              <w:top w:val="single" w:sz="4" w:space="0" w:color="auto"/>
              <w:left w:val="nil"/>
              <w:bottom w:val="single" w:sz="4" w:space="0" w:color="auto"/>
              <w:right w:val="single" w:sz="4" w:space="0" w:color="auto"/>
            </w:tcBorders>
            <w:noWrap/>
            <w:vAlign w:val="bottom"/>
            <w:hideMark/>
          </w:tcPr>
          <w:p w14:paraId="19554BB5"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4</w:t>
            </w:r>
          </w:p>
        </w:tc>
        <w:tc>
          <w:tcPr>
            <w:tcW w:w="992" w:type="dxa"/>
            <w:tcBorders>
              <w:top w:val="single" w:sz="4" w:space="0" w:color="auto"/>
              <w:left w:val="nil"/>
              <w:bottom w:val="single" w:sz="4" w:space="0" w:color="auto"/>
              <w:right w:val="single" w:sz="4" w:space="0" w:color="auto"/>
            </w:tcBorders>
            <w:noWrap/>
            <w:vAlign w:val="bottom"/>
            <w:hideMark/>
          </w:tcPr>
          <w:p w14:paraId="78460EB4"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5</w:t>
            </w:r>
          </w:p>
        </w:tc>
        <w:tc>
          <w:tcPr>
            <w:tcW w:w="1574" w:type="dxa"/>
            <w:tcBorders>
              <w:left w:val="single" w:sz="4" w:space="0" w:color="auto"/>
              <w:right w:val="single" w:sz="4" w:space="0" w:color="auto"/>
            </w:tcBorders>
            <w:shd w:val="clear" w:color="auto" w:fill="auto"/>
          </w:tcPr>
          <w:p w14:paraId="32AF192F"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265FB6A"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single" w:sz="4" w:space="0" w:color="auto"/>
              <w:left w:val="nil"/>
              <w:bottom w:val="single" w:sz="4" w:space="0" w:color="auto"/>
              <w:right w:val="single" w:sz="4" w:space="0" w:color="auto"/>
            </w:tcBorders>
            <w:vAlign w:val="bottom"/>
          </w:tcPr>
          <w:p w14:paraId="1D6AD518"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4</w:t>
            </w:r>
          </w:p>
        </w:tc>
        <w:tc>
          <w:tcPr>
            <w:tcW w:w="992" w:type="dxa"/>
            <w:tcBorders>
              <w:top w:val="single" w:sz="4" w:space="0" w:color="auto"/>
              <w:left w:val="nil"/>
              <w:bottom w:val="single" w:sz="4" w:space="0" w:color="auto"/>
              <w:right w:val="single" w:sz="4" w:space="0" w:color="auto"/>
            </w:tcBorders>
            <w:vAlign w:val="bottom"/>
          </w:tcPr>
          <w:p w14:paraId="267DCD6B"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5</w:t>
            </w:r>
          </w:p>
        </w:tc>
      </w:tr>
      <w:tr w:rsidR="00AD3351" w:rsidRPr="001E14DE" w14:paraId="03937E53"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4765C86A"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4</w:t>
            </w:r>
          </w:p>
        </w:tc>
        <w:tc>
          <w:tcPr>
            <w:tcW w:w="993" w:type="dxa"/>
            <w:tcBorders>
              <w:top w:val="nil"/>
              <w:left w:val="nil"/>
              <w:bottom w:val="single" w:sz="4" w:space="0" w:color="auto"/>
              <w:right w:val="single" w:sz="4" w:space="0" w:color="auto"/>
            </w:tcBorders>
            <w:shd w:val="clear" w:color="auto" w:fill="76923C"/>
            <w:noWrap/>
            <w:vAlign w:val="bottom"/>
            <w:hideMark/>
          </w:tcPr>
          <w:p w14:paraId="26C66134"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single" w:sz="4" w:space="0" w:color="auto"/>
              <w:left w:val="nil"/>
              <w:bottom w:val="single" w:sz="4" w:space="0" w:color="auto"/>
              <w:right w:val="single" w:sz="4" w:space="0" w:color="auto"/>
            </w:tcBorders>
            <w:shd w:val="clear" w:color="auto" w:fill="FF0000"/>
            <w:noWrap/>
            <w:vAlign w:val="bottom"/>
            <w:hideMark/>
          </w:tcPr>
          <w:p w14:paraId="238BC170" w14:textId="77777777" w:rsidR="00AD3351" w:rsidRPr="001E14DE" w:rsidRDefault="00AD3351" w:rsidP="0087212A">
            <w:pPr>
              <w:pStyle w:val="NoSpacing"/>
              <w:jc w:val="center"/>
              <w:rPr>
                <w:rFonts w:ascii="Times New Roman" w:hAnsi="Times New Roman"/>
                <w:sz w:val="24"/>
                <w:szCs w:val="24"/>
                <w:lang w:val="en-US" w:eastAsia="en-GB"/>
              </w:rPr>
            </w:pPr>
          </w:p>
        </w:tc>
        <w:tc>
          <w:tcPr>
            <w:tcW w:w="1574" w:type="dxa"/>
            <w:tcBorders>
              <w:top w:val="nil"/>
              <w:left w:val="single" w:sz="4" w:space="0" w:color="auto"/>
              <w:right w:val="single" w:sz="4" w:space="0" w:color="auto"/>
            </w:tcBorders>
            <w:shd w:val="clear" w:color="auto" w:fill="auto"/>
          </w:tcPr>
          <w:p w14:paraId="4388AC58"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noProof/>
                <w:snapToGrid/>
                <w:sz w:val="24"/>
                <w:szCs w:val="24"/>
                <w:lang w:val="fr-BE" w:eastAsia="fr-BE"/>
              </w:rPr>
              <mc:AlternateContent>
                <mc:Choice Requires="wps">
                  <w:drawing>
                    <wp:anchor distT="0" distB="0" distL="114300" distR="114300" simplePos="0" relativeHeight="251656192" behindDoc="0" locked="0" layoutInCell="1" allowOverlap="1" wp14:anchorId="7D969B15" wp14:editId="15C86F70">
                      <wp:simplePos x="0" y="0"/>
                      <wp:positionH relativeFrom="column">
                        <wp:posOffset>124660</wp:posOffset>
                      </wp:positionH>
                      <wp:positionV relativeFrom="paragraph">
                        <wp:posOffset>120600</wp:posOffset>
                      </wp:positionV>
                      <wp:extent cx="684000" cy="0"/>
                      <wp:effectExtent l="0" t="76200" r="20955" b="95250"/>
                      <wp:wrapNone/>
                      <wp:docPr id="5" name="Straight Arrow Connector 5"/>
                      <wp:cNvGraphicFramePr/>
                      <a:graphic xmlns:a="http://schemas.openxmlformats.org/drawingml/2006/main">
                        <a:graphicData uri="http://schemas.microsoft.com/office/word/2010/wordprocessingShape">
                          <wps:wsp>
                            <wps:cNvCnPr/>
                            <wps:spPr>
                              <a:xfrm>
                                <a:off x="0" y="0"/>
                                <a:ext cx="684000" cy="0"/>
                              </a:xfrm>
                              <a:prstGeom prst="straightConnector1">
                                <a:avLst/>
                              </a:prstGeom>
                              <a:noFill/>
                              <a:ln w="25400" cap="flat" cmpd="sng" algn="ctr">
                                <a:solidFill>
                                  <a:sysClr val="windowText" lastClr="000000"/>
                                </a:solidFill>
                                <a:prstDash val="solid"/>
                                <a:tailEnd type="triangle"/>
                              </a:ln>
                              <a:effectLst/>
                            </wps:spPr>
                            <wps:bodyPr/>
                          </wps:wsp>
                        </a:graphicData>
                      </a:graphic>
                    </wp:anchor>
                  </w:drawing>
                </mc:Choice>
                <mc:Fallback>
                  <w:pict>
                    <v:shape w14:anchorId="21CEA7F9" id="Straight Arrow Connector 5" o:spid="_x0000_s1026" type="#_x0000_t32" style="position:absolute;margin-left:9.8pt;margin-top:9.5pt;width:53.8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" strokecolor="windowText" strokeweight="2pt">
                      <v:stroke endarrow="block"/>
                    </v:shape>
                  </w:pict>
                </mc:Fallback>
              </mc:AlternateConten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D4890D2"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4</w:t>
            </w:r>
          </w:p>
        </w:tc>
        <w:tc>
          <w:tcPr>
            <w:tcW w:w="992" w:type="dxa"/>
            <w:tcBorders>
              <w:top w:val="single" w:sz="4" w:space="0" w:color="auto"/>
              <w:left w:val="nil"/>
              <w:bottom w:val="single" w:sz="4" w:space="0" w:color="auto"/>
              <w:right w:val="single" w:sz="4" w:space="0" w:color="auto"/>
            </w:tcBorders>
            <w:shd w:val="clear" w:color="auto" w:fill="76923C"/>
            <w:vAlign w:val="bottom"/>
          </w:tcPr>
          <w:p w14:paraId="13E8B4DD"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76923C"/>
            <w:vAlign w:val="bottom"/>
          </w:tcPr>
          <w:p w14:paraId="616F3D67" w14:textId="77777777" w:rsidR="00AD3351" w:rsidRPr="001E14DE" w:rsidRDefault="00AD3351" w:rsidP="0087212A">
            <w:pPr>
              <w:pStyle w:val="NoSpacing"/>
              <w:jc w:val="center"/>
              <w:rPr>
                <w:rFonts w:ascii="Times New Roman" w:hAnsi="Times New Roman"/>
                <w:sz w:val="24"/>
                <w:szCs w:val="24"/>
                <w:lang w:val="en-US" w:eastAsia="en-GB"/>
              </w:rPr>
            </w:pPr>
          </w:p>
        </w:tc>
      </w:tr>
      <w:tr w:rsidR="00AD3351" w:rsidRPr="001E14DE" w14:paraId="1F8BD563" w14:textId="77777777" w:rsidTr="00AD3351">
        <w:trPr>
          <w:trHeight w:val="227"/>
        </w:trPr>
        <w:tc>
          <w:tcPr>
            <w:tcW w:w="960" w:type="dxa"/>
            <w:tcBorders>
              <w:top w:val="nil"/>
              <w:left w:val="single" w:sz="4" w:space="0" w:color="auto"/>
              <w:bottom w:val="single" w:sz="4" w:space="0" w:color="auto"/>
              <w:right w:val="single" w:sz="4" w:space="0" w:color="auto"/>
            </w:tcBorders>
            <w:noWrap/>
            <w:vAlign w:val="bottom"/>
            <w:hideMark/>
          </w:tcPr>
          <w:p w14:paraId="4C61EAD4"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5</w:t>
            </w:r>
          </w:p>
        </w:tc>
        <w:tc>
          <w:tcPr>
            <w:tcW w:w="993" w:type="dxa"/>
            <w:tcBorders>
              <w:top w:val="nil"/>
              <w:left w:val="nil"/>
              <w:bottom w:val="single" w:sz="4" w:space="0" w:color="auto"/>
              <w:right w:val="single" w:sz="4" w:space="0" w:color="auto"/>
            </w:tcBorders>
            <w:noWrap/>
            <w:vAlign w:val="bottom"/>
            <w:hideMark/>
          </w:tcPr>
          <w:p w14:paraId="637A9517"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single" w:sz="4" w:space="0" w:color="auto"/>
              <w:left w:val="nil"/>
              <w:bottom w:val="single" w:sz="4" w:space="0" w:color="auto"/>
              <w:right w:val="single" w:sz="4" w:space="0" w:color="auto"/>
            </w:tcBorders>
            <w:shd w:val="clear" w:color="auto" w:fill="76923C"/>
            <w:noWrap/>
            <w:vAlign w:val="bottom"/>
            <w:hideMark/>
          </w:tcPr>
          <w:p w14:paraId="70B67788" w14:textId="77777777" w:rsidR="00AD3351" w:rsidRPr="001E14DE" w:rsidRDefault="00AD3351" w:rsidP="0087212A">
            <w:pPr>
              <w:pStyle w:val="NoSpacing"/>
              <w:jc w:val="center"/>
              <w:rPr>
                <w:rFonts w:ascii="Times New Roman" w:hAnsi="Times New Roman"/>
                <w:sz w:val="24"/>
                <w:szCs w:val="24"/>
                <w:lang w:val="en-US" w:eastAsia="en-GB"/>
              </w:rPr>
            </w:pPr>
          </w:p>
        </w:tc>
        <w:tc>
          <w:tcPr>
            <w:tcW w:w="1574" w:type="dxa"/>
            <w:tcBorders>
              <w:top w:val="nil"/>
              <w:left w:val="single" w:sz="4" w:space="0" w:color="auto"/>
              <w:right w:val="single" w:sz="4" w:space="0" w:color="auto"/>
            </w:tcBorders>
            <w:shd w:val="clear" w:color="auto" w:fill="auto"/>
          </w:tcPr>
          <w:p w14:paraId="231496FE"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7F1480B" w14:textId="77777777" w:rsidR="00AD3351" w:rsidRPr="001E14DE" w:rsidRDefault="00AD3351" w:rsidP="0087212A">
            <w:pPr>
              <w:pStyle w:val="NoSpacing"/>
              <w:jc w:val="center"/>
              <w:rPr>
                <w:rFonts w:ascii="Times New Roman" w:hAnsi="Times New Roman"/>
                <w:sz w:val="24"/>
                <w:szCs w:val="24"/>
                <w:lang w:val="en-US" w:eastAsia="en-GB"/>
              </w:rPr>
            </w:pPr>
            <w:r w:rsidRPr="001E14DE">
              <w:rPr>
                <w:rFonts w:ascii="Times New Roman" w:hAnsi="Times New Roman"/>
                <w:sz w:val="24"/>
                <w:szCs w:val="24"/>
                <w:lang w:val="en-US" w:eastAsia="en-GB"/>
              </w:rPr>
              <w:t>use 5</w:t>
            </w:r>
          </w:p>
        </w:tc>
        <w:tc>
          <w:tcPr>
            <w:tcW w:w="992" w:type="dxa"/>
            <w:tcBorders>
              <w:top w:val="nil"/>
              <w:left w:val="nil"/>
              <w:bottom w:val="single" w:sz="4" w:space="0" w:color="auto"/>
              <w:right w:val="single" w:sz="4" w:space="0" w:color="auto"/>
            </w:tcBorders>
            <w:shd w:val="clear" w:color="auto" w:fill="auto"/>
            <w:vAlign w:val="bottom"/>
          </w:tcPr>
          <w:p w14:paraId="2E65A98F" w14:textId="77777777" w:rsidR="00AD3351" w:rsidRPr="001E14DE" w:rsidRDefault="00AD3351" w:rsidP="0087212A">
            <w:pPr>
              <w:pStyle w:val="NoSpacing"/>
              <w:jc w:val="center"/>
              <w:rPr>
                <w:rFonts w:ascii="Times New Roman" w:hAnsi="Times New Roman"/>
                <w:sz w:val="24"/>
                <w:szCs w:val="24"/>
                <w:lang w:val="en-US" w:eastAsia="en-GB"/>
              </w:rPr>
            </w:pPr>
          </w:p>
        </w:tc>
        <w:tc>
          <w:tcPr>
            <w:tcW w:w="992" w:type="dxa"/>
            <w:tcBorders>
              <w:top w:val="nil"/>
              <w:left w:val="nil"/>
              <w:bottom w:val="single" w:sz="4" w:space="0" w:color="auto"/>
              <w:right w:val="single" w:sz="4" w:space="0" w:color="auto"/>
            </w:tcBorders>
            <w:shd w:val="clear" w:color="auto" w:fill="76923C"/>
            <w:vAlign w:val="bottom"/>
          </w:tcPr>
          <w:p w14:paraId="0D26AB71" w14:textId="77777777" w:rsidR="00AD3351" w:rsidRPr="001E14DE" w:rsidRDefault="00AD3351" w:rsidP="0087212A">
            <w:pPr>
              <w:pStyle w:val="NoSpacing"/>
              <w:jc w:val="center"/>
              <w:rPr>
                <w:rFonts w:ascii="Times New Roman" w:hAnsi="Times New Roman"/>
                <w:sz w:val="24"/>
                <w:szCs w:val="24"/>
                <w:lang w:val="en-US" w:eastAsia="en-GB"/>
              </w:rPr>
            </w:pPr>
          </w:p>
        </w:tc>
      </w:tr>
    </w:tbl>
    <w:p w14:paraId="5285E771" w14:textId="77777777" w:rsidR="00FA2DFF" w:rsidRDefault="00AD3351" w:rsidP="00AD3351">
      <w:pPr>
        <w:pStyle w:val="HistoryTable"/>
        <w:rPr>
          <w:lang w:val="en-IE"/>
        </w:rPr>
        <w:sectPr w:rsidR="00FA2DFF">
          <w:pgSz w:w="11906" w:h="16838"/>
          <w:pgMar w:top="1020" w:right="1701" w:bottom="1020" w:left="1587" w:header="601" w:footer="1077" w:gutter="0"/>
          <w:cols w:space="720"/>
          <w:titlePg/>
          <w:docGrid w:linePitch="326"/>
        </w:sectPr>
      </w:pPr>
      <w:r w:rsidRPr="001E14DE">
        <w:rPr>
          <w:sz w:val="24"/>
          <w:szCs w:val="24"/>
          <w:lang w:val="en-IE"/>
        </w:rPr>
        <w:lastRenderedPageBreak/>
        <w:t>Other arrangements would also be acceptable as long as a maximum of two red cells would be present in each family.</w:t>
      </w:r>
    </w:p>
    <w:p w14:paraId="760CC7E5" w14:textId="77777777" w:rsidR="00FA2DFF" w:rsidRDefault="00FA2DFF" w:rsidP="00FA2DFF">
      <w:pPr>
        <w:pStyle w:val="HistTableHeading"/>
      </w:pPr>
      <w:r>
        <w:lastRenderedPageBreak/>
        <w:t>Annex VI</w:t>
      </w:r>
    </w:p>
    <w:p w14:paraId="635D80F8" w14:textId="77777777" w:rsidR="00FA2DFF" w:rsidRDefault="00355D54" w:rsidP="00FA2DFF">
      <w:pPr>
        <w:pStyle w:val="HistTableHeading"/>
      </w:pPr>
      <w:r>
        <w:t>Example of s</w:t>
      </w:r>
      <w:r w:rsidR="005E2FE7">
        <w:t xml:space="preserve">imilar level of </w:t>
      </w:r>
      <w:r>
        <w:t xml:space="preserve">risk and </w:t>
      </w:r>
      <w:r w:rsidR="005E2FE7">
        <w:t>efficacy</w:t>
      </w:r>
    </w:p>
    <w:p w14:paraId="15298FC6" w14:textId="77777777" w:rsidR="005E2FE7" w:rsidRPr="00845A73" w:rsidRDefault="005E2FE7" w:rsidP="005E2FE7">
      <w:pPr>
        <w:pStyle w:val="Heading1"/>
        <w:numPr>
          <w:ilvl w:val="0"/>
          <w:numId w:val="0"/>
        </w:numPr>
      </w:pPr>
      <w:r w:rsidRPr="00845A73">
        <w:t xml:space="preserve">Examples of a core including more than one </w:t>
      </w:r>
      <w:r>
        <w:t>meta-SPC</w:t>
      </w:r>
    </w:p>
    <w:p w14:paraId="767D650F" w14:textId="77777777" w:rsidR="005E2FE7" w:rsidRPr="00845A73" w:rsidRDefault="005E2FE7" w:rsidP="005E2FE7">
      <w:pPr>
        <w:rPr>
          <w:b/>
        </w:rPr>
      </w:pPr>
      <w:r w:rsidRPr="00845A73">
        <w:rPr>
          <w:b/>
          <w:u w:val="single"/>
        </w:rPr>
        <w:t>Example 1.1</w:t>
      </w:r>
      <w:r>
        <w:rPr>
          <w:b/>
        </w:rPr>
        <w:t xml:space="preserve">: </w:t>
      </w:r>
      <w:r w:rsidRPr="00845A73">
        <w:rPr>
          <w:b/>
        </w:rPr>
        <w:t>BPs that can be covered by one core assessment but due to different H&amp;P phrases cannot be presented in one meta-SPC:</w:t>
      </w:r>
    </w:p>
    <w:p w14:paraId="439AF140" w14:textId="77777777" w:rsidR="005E2FE7" w:rsidRPr="00845A73" w:rsidRDefault="005E2FE7" w:rsidP="005E2FE7">
      <w:r w:rsidRPr="00845A73">
        <w:t xml:space="preserve">The BPF applied for includes only RTU products (10-20 % active substance dissolved in 70-85 % solvent). The products are available with different combinations of pigments, perfumes and dyes (PPD). These PPD (2.5-5 %) include a substance of concern (SoC, e.g. a preservative) which triggers a hazard-phrase (e.g. EUH 208 </w:t>
      </w:r>
      <w:r w:rsidRPr="00845A73">
        <w:rPr>
          <w:rStyle w:val="st"/>
        </w:rPr>
        <w:t>Contains SoC1…</w:t>
      </w:r>
      <w:r w:rsidRPr="00845A73">
        <w:t>). These products are presented in meta</w:t>
      </w:r>
      <w:r w:rsidR="003D272D">
        <w:t>-</w:t>
      </w:r>
      <w:r w:rsidRPr="00845A73">
        <w:t xml:space="preserve">SPC 1 (see table </w:t>
      </w:r>
      <w:r w:rsidR="008405FA">
        <w:t>3</w:t>
      </w:r>
      <w:r w:rsidRPr="00845A73">
        <w:t xml:space="preserve"> below).</w:t>
      </w:r>
    </w:p>
    <w:p w14:paraId="2A260762" w14:textId="77777777" w:rsidR="005E2FE7" w:rsidRPr="00845A73" w:rsidRDefault="005E2FE7" w:rsidP="005E2FE7">
      <w:r w:rsidRPr="00845A73">
        <w:t xml:space="preserve">Additionally, products are placed on the market which have the same active substance, solvent and PPD content. However, these PPD include a different SoC (e.g. another preservative) which triggers a different hazard-phrase (e.g. EUH 208 </w:t>
      </w:r>
      <w:r w:rsidRPr="00845A73">
        <w:rPr>
          <w:rStyle w:val="st"/>
        </w:rPr>
        <w:t>Contains SoC2…</w:t>
      </w:r>
      <w:r w:rsidRPr="00845A73">
        <w:t xml:space="preserve">). These products are presented in meta SPC 2 (see table </w:t>
      </w:r>
      <w:r w:rsidR="008405FA">
        <w:t>3</w:t>
      </w:r>
      <w:r w:rsidRPr="00845A73">
        <w:t xml:space="preserve"> below).</w:t>
      </w:r>
    </w:p>
    <w:p w14:paraId="0FF5F9FF" w14:textId="77777777" w:rsidR="005E2FE7" w:rsidRPr="00845A73" w:rsidRDefault="005E2FE7" w:rsidP="005E2FE7">
      <w:r w:rsidRPr="00845A73">
        <w:t xml:space="preserve">The core composition (see table </w:t>
      </w:r>
      <w:r w:rsidR="008405FA">
        <w:t>3</w:t>
      </w:r>
      <w:r w:rsidRPr="00845A73">
        <w:t xml:space="preserve"> below </w:t>
      </w:r>
      <w:r w:rsidR="009A75FB">
        <w:t xml:space="preserve">- </w:t>
      </w:r>
      <w:r w:rsidRPr="00845A73">
        <w:t>columns in orange) is based on the largest variations (smallest min. value and largest max. value of all the meta SPCs) of each ingredient. In this case the core composition also represents the overall Le</w:t>
      </w:r>
      <w:r>
        <w:t>vel 1 family composition range.</w:t>
      </w:r>
    </w:p>
    <w:tbl>
      <w:tblPr>
        <w:tblStyle w:val="TableGrid"/>
        <w:tblW w:w="0" w:type="auto"/>
        <w:tblLook w:val="04A0" w:firstRow="1" w:lastRow="0" w:firstColumn="1" w:lastColumn="0" w:noHBand="0" w:noVBand="1"/>
      </w:tblPr>
      <w:tblGrid>
        <w:gridCol w:w="1848"/>
        <w:gridCol w:w="924"/>
        <w:gridCol w:w="924"/>
        <w:gridCol w:w="924"/>
        <w:gridCol w:w="924"/>
        <w:gridCol w:w="925"/>
        <w:gridCol w:w="925"/>
      </w:tblGrid>
      <w:tr w:rsidR="005E2FE7" w:rsidRPr="005E2FE7" w14:paraId="0CD82A86" w14:textId="77777777" w:rsidTr="0087212A">
        <w:tc>
          <w:tcPr>
            <w:tcW w:w="1848" w:type="dxa"/>
            <w:vMerge w:val="restart"/>
            <w:vAlign w:val="center"/>
          </w:tcPr>
          <w:p w14:paraId="6A84525F" w14:textId="77777777" w:rsidR="005E2FE7" w:rsidRPr="005E2FE7" w:rsidRDefault="005E2FE7" w:rsidP="0087212A">
            <w:pPr>
              <w:jc w:val="center"/>
              <w:rPr>
                <w:rFonts w:ascii="Times New Roman" w:hAnsi="Times New Roman"/>
              </w:rPr>
            </w:pPr>
            <w:r w:rsidRPr="005E2FE7">
              <w:rPr>
                <w:rFonts w:ascii="Times New Roman" w:hAnsi="Times New Roman"/>
                <w:b/>
              </w:rPr>
              <w:t>Ingredients</w:t>
            </w:r>
          </w:p>
        </w:tc>
        <w:tc>
          <w:tcPr>
            <w:tcW w:w="1848" w:type="dxa"/>
            <w:gridSpan w:val="2"/>
            <w:vMerge w:val="restart"/>
            <w:shd w:val="clear" w:color="auto" w:fill="FFC000"/>
            <w:vAlign w:val="center"/>
          </w:tcPr>
          <w:p w14:paraId="71590331" w14:textId="77777777" w:rsidR="005E2FE7" w:rsidRPr="005E2FE7" w:rsidRDefault="003D272D" w:rsidP="009A75FB">
            <w:pPr>
              <w:spacing w:after="0"/>
              <w:jc w:val="center"/>
              <w:rPr>
                <w:rFonts w:ascii="Times New Roman" w:hAnsi="Times New Roman"/>
                <w:b/>
              </w:rPr>
            </w:pPr>
            <w:r>
              <w:rPr>
                <w:rFonts w:ascii="Times New Roman" w:hAnsi="Times New Roman"/>
                <w:b/>
              </w:rPr>
              <w:t xml:space="preserve">Level 1: </w:t>
            </w:r>
            <w:r w:rsidR="005E2FE7" w:rsidRPr="005E2FE7">
              <w:rPr>
                <w:rFonts w:ascii="Times New Roman" w:hAnsi="Times New Roman"/>
                <w:b/>
              </w:rPr>
              <w:t>Core</w:t>
            </w:r>
          </w:p>
          <w:p w14:paraId="7EDC523A" w14:textId="77777777" w:rsidR="005E2FE7" w:rsidRPr="005E2FE7" w:rsidRDefault="005E2FE7" w:rsidP="0087212A">
            <w:pPr>
              <w:jc w:val="center"/>
              <w:rPr>
                <w:rFonts w:ascii="Times New Roman" w:hAnsi="Times New Roman"/>
                <w:b/>
              </w:rPr>
            </w:pPr>
            <w:r w:rsidRPr="005E2FE7">
              <w:rPr>
                <w:rFonts w:ascii="Times New Roman" w:hAnsi="Times New Roman"/>
                <w:b/>
              </w:rPr>
              <w:t>composition</w:t>
            </w:r>
          </w:p>
        </w:tc>
        <w:tc>
          <w:tcPr>
            <w:tcW w:w="1848" w:type="dxa"/>
            <w:gridSpan w:val="2"/>
            <w:shd w:val="clear" w:color="auto" w:fill="538135" w:themeFill="accent6" w:themeFillShade="BF"/>
            <w:vAlign w:val="center"/>
          </w:tcPr>
          <w:p w14:paraId="654B7CC5" w14:textId="77777777" w:rsidR="005E2FE7" w:rsidRPr="005E2FE7" w:rsidRDefault="005E2FE7" w:rsidP="0087212A">
            <w:pPr>
              <w:jc w:val="center"/>
              <w:rPr>
                <w:rFonts w:ascii="Times New Roman" w:hAnsi="Times New Roman"/>
                <w:b/>
              </w:rPr>
            </w:pPr>
            <w:r w:rsidRPr="005E2FE7">
              <w:rPr>
                <w:rFonts w:ascii="Times New Roman" w:hAnsi="Times New Roman"/>
                <w:b/>
              </w:rPr>
              <w:t xml:space="preserve">Meta </w:t>
            </w:r>
            <w:r w:rsidR="003D272D">
              <w:rPr>
                <w:rFonts w:ascii="Times New Roman" w:hAnsi="Times New Roman"/>
                <w:b/>
              </w:rPr>
              <w:t xml:space="preserve">SPC </w:t>
            </w:r>
            <w:r w:rsidRPr="005E2FE7">
              <w:rPr>
                <w:rFonts w:ascii="Times New Roman" w:hAnsi="Times New Roman"/>
                <w:b/>
              </w:rPr>
              <w:t>1</w:t>
            </w:r>
          </w:p>
        </w:tc>
        <w:tc>
          <w:tcPr>
            <w:tcW w:w="1850" w:type="dxa"/>
            <w:gridSpan w:val="2"/>
            <w:shd w:val="clear" w:color="auto" w:fill="538135" w:themeFill="accent6" w:themeFillShade="BF"/>
            <w:vAlign w:val="center"/>
          </w:tcPr>
          <w:p w14:paraId="1BFE7B98" w14:textId="77777777" w:rsidR="005E2FE7" w:rsidRPr="005E2FE7" w:rsidRDefault="005E2FE7" w:rsidP="0087212A">
            <w:pPr>
              <w:jc w:val="center"/>
              <w:rPr>
                <w:rFonts w:ascii="Times New Roman" w:hAnsi="Times New Roman"/>
                <w:b/>
              </w:rPr>
            </w:pPr>
            <w:r w:rsidRPr="005E2FE7">
              <w:rPr>
                <w:rFonts w:ascii="Times New Roman" w:hAnsi="Times New Roman"/>
                <w:b/>
              </w:rPr>
              <w:t>Meta</w:t>
            </w:r>
            <w:r w:rsidR="003D272D">
              <w:rPr>
                <w:rFonts w:ascii="Times New Roman" w:hAnsi="Times New Roman"/>
                <w:b/>
              </w:rPr>
              <w:t xml:space="preserve"> SPC</w:t>
            </w:r>
            <w:r w:rsidRPr="005E2FE7">
              <w:rPr>
                <w:rFonts w:ascii="Times New Roman" w:hAnsi="Times New Roman"/>
                <w:b/>
              </w:rPr>
              <w:t xml:space="preserve"> 2</w:t>
            </w:r>
          </w:p>
        </w:tc>
      </w:tr>
      <w:tr w:rsidR="003D272D" w:rsidRPr="005E2FE7" w14:paraId="257A26C4" w14:textId="77777777" w:rsidTr="0087212A">
        <w:tc>
          <w:tcPr>
            <w:tcW w:w="1848" w:type="dxa"/>
            <w:vMerge/>
            <w:vAlign w:val="center"/>
          </w:tcPr>
          <w:p w14:paraId="5BE401E9" w14:textId="77777777" w:rsidR="003D272D" w:rsidRPr="005E2FE7" w:rsidRDefault="003D272D" w:rsidP="0087212A">
            <w:pPr>
              <w:jc w:val="center"/>
              <w:rPr>
                <w:rFonts w:ascii="Times New Roman" w:hAnsi="Times New Roman"/>
              </w:rPr>
            </w:pPr>
          </w:p>
        </w:tc>
        <w:tc>
          <w:tcPr>
            <w:tcW w:w="1848" w:type="dxa"/>
            <w:gridSpan w:val="2"/>
            <w:vMerge/>
            <w:shd w:val="clear" w:color="auto" w:fill="FFC000"/>
            <w:vAlign w:val="center"/>
          </w:tcPr>
          <w:p w14:paraId="552A406E" w14:textId="77777777" w:rsidR="003D272D" w:rsidRPr="005E2FE7" w:rsidRDefault="003D272D" w:rsidP="0087212A">
            <w:pPr>
              <w:jc w:val="center"/>
              <w:rPr>
                <w:rFonts w:ascii="Times New Roman" w:hAnsi="Times New Roman"/>
                <w:b/>
              </w:rPr>
            </w:pPr>
          </w:p>
        </w:tc>
        <w:tc>
          <w:tcPr>
            <w:tcW w:w="3698" w:type="dxa"/>
            <w:gridSpan w:val="4"/>
            <w:shd w:val="clear" w:color="auto" w:fill="538135" w:themeFill="accent6" w:themeFillShade="BF"/>
            <w:vAlign w:val="center"/>
          </w:tcPr>
          <w:p w14:paraId="50F68E4E" w14:textId="77777777" w:rsidR="003D272D" w:rsidRPr="005E2FE7" w:rsidRDefault="003D272D" w:rsidP="0087212A">
            <w:pPr>
              <w:jc w:val="center"/>
              <w:rPr>
                <w:rFonts w:ascii="Times New Roman" w:hAnsi="Times New Roman"/>
              </w:rPr>
            </w:pPr>
            <w:r w:rsidRPr="005E2FE7">
              <w:rPr>
                <w:rFonts w:ascii="Times New Roman" w:hAnsi="Times New Roman"/>
                <w:b/>
              </w:rPr>
              <w:t>Reason for creation of add. meta:</w:t>
            </w:r>
          </w:p>
          <w:p w14:paraId="1DBE3814" w14:textId="77777777" w:rsidR="003D272D" w:rsidRPr="005E2FE7" w:rsidRDefault="003D272D" w:rsidP="0087212A">
            <w:pPr>
              <w:jc w:val="center"/>
              <w:rPr>
                <w:rFonts w:ascii="Times New Roman" w:hAnsi="Times New Roman"/>
              </w:rPr>
            </w:pPr>
            <w:r w:rsidRPr="005E2FE7">
              <w:rPr>
                <w:rFonts w:ascii="Times New Roman" w:hAnsi="Times New Roman"/>
              </w:rPr>
              <w:t>CLP different to meta 1 (incl. SoC2 instead of SoC1)</w:t>
            </w:r>
          </w:p>
        </w:tc>
      </w:tr>
      <w:tr w:rsidR="005E2FE7" w:rsidRPr="005E2FE7" w14:paraId="51EDDE82" w14:textId="77777777" w:rsidTr="0087212A">
        <w:tc>
          <w:tcPr>
            <w:tcW w:w="1848" w:type="dxa"/>
            <w:vMerge/>
            <w:vAlign w:val="center"/>
          </w:tcPr>
          <w:p w14:paraId="5A2DFC53" w14:textId="77777777" w:rsidR="005E2FE7" w:rsidRPr="005E2FE7" w:rsidRDefault="005E2FE7" w:rsidP="0087212A">
            <w:pPr>
              <w:jc w:val="center"/>
              <w:rPr>
                <w:rFonts w:ascii="Times New Roman" w:hAnsi="Times New Roman"/>
              </w:rPr>
            </w:pPr>
          </w:p>
        </w:tc>
        <w:tc>
          <w:tcPr>
            <w:tcW w:w="924" w:type="dxa"/>
            <w:tcBorders>
              <w:bottom w:val="single" w:sz="4" w:space="0" w:color="auto"/>
            </w:tcBorders>
            <w:shd w:val="clear" w:color="auto" w:fill="FFC000"/>
            <w:vAlign w:val="center"/>
          </w:tcPr>
          <w:p w14:paraId="3135F52A" w14:textId="77777777" w:rsidR="005E2FE7" w:rsidRPr="005E2FE7" w:rsidRDefault="005E2FE7" w:rsidP="0087212A">
            <w:pPr>
              <w:jc w:val="center"/>
              <w:rPr>
                <w:rFonts w:ascii="Times New Roman" w:hAnsi="Times New Roman"/>
              </w:rPr>
            </w:pPr>
            <w:r w:rsidRPr="005E2FE7">
              <w:rPr>
                <w:rFonts w:ascii="Times New Roman" w:hAnsi="Times New Roman"/>
                <w:b/>
              </w:rPr>
              <w:t>Min</w:t>
            </w:r>
          </w:p>
        </w:tc>
        <w:tc>
          <w:tcPr>
            <w:tcW w:w="924" w:type="dxa"/>
            <w:tcBorders>
              <w:bottom w:val="single" w:sz="4" w:space="0" w:color="auto"/>
            </w:tcBorders>
            <w:shd w:val="clear" w:color="auto" w:fill="FFC000"/>
            <w:vAlign w:val="center"/>
          </w:tcPr>
          <w:p w14:paraId="7E0B0D24" w14:textId="77777777" w:rsidR="005E2FE7" w:rsidRPr="005E2FE7" w:rsidRDefault="005E2FE7" w:rsidP="0087212A">
            <w:pPr>
              <w:jc w:val="center"/>
              <w:rPr>
                <w:rFonts w:ascii="Times New Roman" w:hAnsi="Times New Roman"/>
              </w:rPr>
            </w:pPr>
            <w:r w:rsidRPr="005E2FE7">
              <w:rPr>
                <w:rFonts w:ascii="Times New Roman" w:hAnsi="Times New Roman"/>
                <w:b/>
              </w:rPr>
              <w:t>Max</w:t>
            </w:r>
          </w:p>
        </w:tc>
        <w:tc>
          <w:tcPr>
            <w:tcW w:w="924" w:type="dxa"/>
            <w:shd w:val="clear" w:color="auto" w:fill="538135" w:themeFill="accent6" w:themeFillShade="BF"/>
            <w:vAlign w:val="center"/>
          </w:tcPr>
          <w:p w14:paraId="090429D3" w14:textId="77777777" w:rsidR="005E2FE7" w:rsidRPr="005E2FE7" w:rsidRDefault="005E2FE7" w:rsidP="0087212A">
            <w:pPr>
              <w:jc w:val="center"/>
              <w:rPr>
                <w:rFonts w:ascii="Times New Roman" w:hAnsi="Times New Roman"/>
              </w:rPr>
            </w:pPr>
            <w:r w:rsidRPr="005E2FE7">
              <w:rPr>
                <w:rFonts w:ascii="Times New Roman" w:hAnsi="Times New Roman"/>
                <w:b/>
              </w:rPr>
              <w:t>Min</w:t>
            </w:r>
          </w:p>
        </w:tc>
        <w:tc>
          <w:tcPr>
            <w:tcW w:w="924" w:type="dxa"/>
            <w:shd w:val="clear" w:color="auto" w:fill="538135" w:themeFill="accent6" w:themeFillShade="BF"/>
            <w:vAlign w:val="center"/>
          </w:tcPr>
          <w:p w14:paraId="7FC52DFC" w14:textId="77777777" w:rsidR="005E2FE7" w:rsidRPr="005E2FE7" w:rsidRDefault="005E2FE7" w:rsidP="0087212A">
            <w:pPr>
              <w:jc w:val="center"/>
              <w:rPr>
                <w:rFonts w:ascii="Times New Roman" w:hAnsi="Times New Roman"/>
              </w:rPr>
            </w:pPr>
            <w:r w:rsidRPr="005E2FE7">
              <w:rPr>
                <w:rFonts w:ascii="Times New Roman" w:hAnsi="Times New Roman"/>
                <w:b/>
              </w:rPr>
              <w:t>Max</w:t>
            </w:r>
          </w:p>
        </w:tc>
        <w:tc>
          <w:tcPr>
            <w:tcW w:w="925" w:type="dxa"/>
            <w:shd w:val="clear" w:color="auto" w:fill="538135" w:themeFill="accent6" w:themeFillShade="BF"/>
            <w:vAlign w:val="center"/>
          </w:tcPr>
          <w:p w14:paraId="4A820E70" w14:textId="77777777" w:rsidR="005E2FE7" w:rsidRPr="005E2FE7" w:rsidRDefault="005E2FE7" w:rsidP="0087212A">
            <w:pPr>
              <w:jc w:val="center"/>
              <w:rPr>
                <w:rFonts w:ascii="Times New Roman" w:hAnsi="Times New Roman"/>
              </w:rPr>
            </w:pPr>
            <w:r w:rsidRPr="005E2FE7">
              <w:rPr>
                <w:rFonts w:ascii="Times New Roman" w:hAnsi="Times New Roman"/>
                <w:b/>
              </w:rPr>
              <w:t>Min</w:t>
            </w:r>
          </w:p>
        </w:tc>
        <w:tc>
          <w:tcPr>
            <w:tcW w:w="925" w:type="dxa"/>
            <w:shd w:val="clear" w:color="auto" w:fill="538135" w:themeFill="accent6" w:themeFillShade="BF"/>
            <w:vAlign w:val="center"/>
          </w:tcPr>
          <w:p w14:paraId="7A70BC1F" w14:textId="77777777" w:rsidR="005E2FE7" w:rsidRPr="005E2FE7" w:rsidRDefault="005E2FE7" w:rsidP="0087212A">
            <w:pPr>
              <w:jc w:val="center"/>
              <w:rPr>
                <w:rFonts w:ascii="Times New Roman" w:hAnsi="Times New Roman"/>
              </w:rPr>
            </w:pPr>
            <w:r w:rsidRPr="005E2FE7">
              <w:rPr>
                <w:rFonts w:ascii="Times New Roman" w:hAnsi="Times New Roman"/>
                <w:b/>
              </w:rPr>
              <w:t>Max</w:t>
            </w:r>
          </w:p>
        </w:tc>
      </w:tr>
      <w:tr w:rsidR="005E2FE7" w:rsidRPr="005E2FE7" w14:paraId="161B4743" w14:textId="77777777" w:rsidTr="0087212A">
        <w:tc>
          <w:tcPr>
            <w:tcW w:w="1848" w:type="dxa"/>
          </w:tcPr>
          <w:p w14:paraId="2D7DF4C6" w14:textId="77777777" w:rsidR="005E2FE7" w:rsidRPr="005E2FE7" w:rsidRDefault="005E2FE7" w:rsidP="0087212A">
            <w:pPr>
              <w:jc w:val="center"/>
              <w:rPr>
                <w:rFonts w:ascii="Times New Roman" w:hAnsi="Times New Roman"/>
              </w:rPr>
            </w:pPr>
            <w:r w:rsidRPr="005E2FE7">
              <w:rPr>
                <w:rFonts w:ascii="Times New Roman" w:hAnsi="Times New Roman"/>
              </w:rPr>
              <w:t>Active substance</w:t>
            </w:r>
          </w:p>
        </w:tc>
        <w:tc>
          <w:tcPr>
            <w:tcW w:w="924" w:type="dxa"/>
            <w:vAlign w:val="center"/>
          </w:tcPr>
          <w:p w14:paraId="542417B6" w14:textId="77777777" w:rsidR="005E2FE7" w:rsidRPr="005E2FE7" w:rsidRDefault="005E2FE7" w:rsidP="0087212A">
            <w:pPr>
              <w:jc w:val="center"/>
              <w:rPr>
                <w:rFonts w:ascii="Times New Roman" w:hAnsi="Times New Roman"/>
              </w:rPr>
            </w:pPr>
            <w:r w:rsidRPr="005E2FE7">
              <w:rPr>
                <w:rFonts w:ascii="Times New Roman" w:hAnsi="Times New Roman"/>
              </w:rPr>
              <w:t>10</w:t>
            </w:r>
          </w:p>
        </w:tc>
        <w:tc>
          <w:tcPr>
            <w:tcW w:w="924" w:type="dxa"/>
            <w:vAlign w:val="center"/>
          </w:tcPr>
          <w:p w14:paraId="07AE7B69" w14:textId="77777777" w:rsidR="005E2FE7" w:rsidRPr="005E2FE7" w:rsidRDefault="005E2FE7" w:rsidP="0087212A">
            <w:pPr>
              <w:jc w:val="center"/>
              <w:rPr>
                <w:rFonts w:ascii="Times New Roman" w:hAnsi="Times New Roman"/>
              </w:rPr>
            </w:pPr>
            <w:r w:rsidRPr="005E2FE7">
              <w:rPr>
                <w:rFonts w:ascii="Times New Roman" w:hAnsi="Times New Roman"/>
              </w:rPr>
              <w:t>20</w:t>
            </w:r>
          </w:p>
        </w:tc>
        <w:tc>
          <w:tcPr>
            <w:tcW w:w="924" w:type="dxa"/>
            <w:vAlign w:val="center"/>
          </w:tcPr>
          <w:p w14:paraId="4BC119E6" w14:textId="77777777" w:rsidR="005E2FE7" w:rsidRPr="005E2FE7" w:rsidRDefault="005E2FE7" w:rsidP="0087212A">
            <w:pPr>
              <w:jc w:val="center"/>
              <w:rPr>
                <w:rFonts w:ascii="Times New Roman" w:hAnsi="Times New Roman"/>
              </w:rPr>
            </w:pPr>
            <w:r w:rsidRPr="005E2FE7">
              <w:rPr>
                <w:rFonts w:ascii="Times New Roman" w:hAnsi="Times New Roman"/>
              </w:rPr>
              <w:t>10</w:t>
            </w:r>
          </w:p>
        </w:tc>
        <w:tc>
          <w:tcPr>
            <w:tcW w:w="924" w:type="dxa"/>
            <w:vAlign w:val="center"/>
          </w:tcPr>
          <w:p w14:paraId="4A0B7395" w14:textId="77777777" w:rsidR="005E2FE7" w:rsidRPr="005E2FE7" w:rsidRDefault="005E2FE7" w:rsidP="0087212A">
            <w:pPr>
              <w:jc w:val="center"/>
              <w:rPr>
                <w:rFonts w:ascii="Times New Roman" w:hAnsi="Times New Roman"/>
              </w:rPr>
            </w:pPr>
            <w:r w:rsidRPr="005E2FE7">
              <w:rPr>
                <w:rFonts w:ascii="Times New Roman" w:hAnsi="Times New Roman"/>
              </w:rPr>
              <w:t>20</w:t>
            </w:r>
          </w:p>
        </w:tc>
        <w:tc>
          <w:tcPr>
            <w:tcW w:w="925" w:type="dxa"/>
            <w:vAlign w:val="center"/>
          </w:tcPr>
          <w:p w14:paraId="345DEB9A" w14:textId="77777777" w:rsidR="005E2FE7" w:rsidRPr="005E2FE7" w:rsidRDefault="005E2FE7" w:rsidP="0087212A">
            <w:pPr>
              <w:jc w:val="center"/>
              <w:rPr>
                <w:rFonts w:ascii="Times New Roman" w:hAnsi="Times New Roman"/>
              </w:rPr>
            </w:pPr>
            <w:r w:rsidRPr="005E2FE7">
              <w:rPr>
                <w:rFonts w:ascii="Times New Roman" w:hAnsi="Times New Roman"/>
              </w:rPr>
              <w:t>10</w:t>
            </w:r>
          </w:p>
        </w:tc>
        <w:tc>
          <w:tcPr>
            <w:tcW w:w="925" w:type="dxa"/>
            <w:vAlign w:val="center"/>
          </w:tcPr>
          <w:p w14:paraId="12244FEF" w14:textId="77777777" w:rsidR="005E2FE7" w:rsidRPr="005E2FE7" w:rsidRDefault="005E2FE7" w:rsidP="0087212A">
            <w:pPr>
              <w:jc w:val="center"/>
              <w:rPr>
                <w:rFonts w:ascii="Times New Roman" w:hAnsi="Times New Roman"/>
              </w:rPr>
            </w:pPr>
            <w:r w:rsidRPr="005E2FE7">
              <w:rPr>
                <w:rFonts w:ascii="Times New Roman" w:hAnsi="Times New Roman"/>
              </w:rPr>
              <w:t>20</w:t>
            </w:r>
          </w:p>
        </w:tc>
      </w:tr>
      <w:tr w:rsidR="005E2FE7" w:rsidRPr="005E2FE7" w14:paraId="0C2820D5" w14:textId="77777777" w:rsidTr="0087212A">
        <w:tc>
          <w:tcPr>
            <w:tcW w:w="1848" w:type="dxa"/>
            <w:tcBorders>
              <w:bottom w:val="single" w:sz="4" w:space="0" w:color="auto"/>
            </w:tcBorders>
          </w:tcPr>
          <w:p w14:paraId="2F899B19" w14:textId="77777777" w:rsidR="005E2FE7" w:rsidRPr="005E2FE7" w:rsidRDefault="005E2FE7" w:rsidP="0087212A">
            <w:pPr>
              <w:jc w:val="center"/>
              <w:rPr>
                <w:rFonts w:ascii="Times New Roman" w:hAnsi="Times New Roman"/>
              </w:rPr>
            </w:pPr>
            <w:r w:rsidRPr="005E2FE7">
              <w:rPr>
                <w:rFonts w:ascii="Times New Roman" w:hAnsi="Times New Roman"/>
              </w:rPr>
              <w:t>Solvent</w:t>
            </w:r>
          </w:p>
        </w:tc>
        <w:tc>
          <w:tcPr>
            <w:tcW w:w="924" w:type="dxa"/>
            <w:vAlign w:val="center"/>
          </w:tcPr>
          <w:p w14:paraId="4D0FEC0B" w14:textId="77777777" w:rsidR="005E2FE7" w:rsidRPr="005E2FE7" w:rsidRDefault="005E2FE7" w:rsidP="0087212A">
            <w:pPr>
              <w:jc w:val="center"/>
              <w:rPr>
                <w:rFonts w:ascii="Times New Roman" w:hAnsi="Times New Roman"/>
              </w:rPr>
            </w:pPr>
            <w:r w:rsidRPr="005E2FE7">
              <w:rPr>
                <w:rFonts w:ascii="Times New Roman" w:hAnsi="Times New Roman"/>
              </w:rPr>
              <w:t>70</w:t>
            </w:r>
          </w:p>
        </w:tc>
        <w:tc>
          <w:tcPr>
            <w:tcW w:w="924" w:type="dxa"/>
            <w:vAlign w:val="center"/>
          </w:tcPr>
          <w:p w14:paraId="76DF334A" w14:textId="77777777" w:rsidR="005E2FE7" w:rsidRPr="005E2FE7" w:rsidRDefault="005E2FE7" w:rsidP="0087212A">
            <w:pPr>
              <w:jc w:val="center"/>
              <w:rPr>
                <w:rFonts w:ascii="Times New Roman" w:hAnsi="Times New Roman"/>
              </w:rPr>
            </w:pPr>
            <w:r w:rsidRPr="005E2FE7">
              <w:rPr>
                <w:rFonts w:ascii="Times New Roman" w:hAnsi="Times New Roman"/>
              </w:rPr>
              <w:t>85</w:t>
            </w:r>
          </w:p>
        </w:tc>
        <w:tc>
          <w:tcPr>
            <w:tcW w:w="924" w:type="dxa"/>
            <w:vAlign w:val="center"/>
          </w:tcPr>
          <w:p w14:paraId="6BBFA128" w14:textId="77777777" w:rsidR="005E2FE7" w:rsidRPr="005E2FE7" w:rsidRDefault="005E2FE7" w:rsidP="0087212A">
            <w:pPr>
              <w:jc w:val="center"/>
              <w:rPr>
                <w:rFonts w:ascii="Times New Roman" w:hAnsi="Times New Roman"/>
              </w:rPr>
            </w:pPr>
            <w:r w:rsidRPr="005E2FE7">
              <w:rPr>
                <w:rFonts w:ascii="Times New Roman" w:hAnsi="Times New Roman"/>
              </w:rPr>
              <w:t>70</w:t>
            </w:r>
          </w:p>
        </w:tc>
        <w:tc>
          <w:tcPr>
            <w:tcW w:w="924" w:type="dxa"/>
            <w:vAlign w:val="center"/>
          </w:tcPr>
          <w:p w14:paraId="31965E5D" w14:textId="77777777" w:rsidR="005E2FE7" w:rsidRPr="005E2FE7" w:rsidRDefault="005E2FE7" w:rsidP="0087212A">
            <w:pPr>
              <w:jc w:val="center"/>
              <w:rPr>
                <w:rFonts w:ascii="Times New Roman" w:hAnsi="Times New Roman"/>
              </w:rPr>
            </w:pPr>
            <w:r w:rsidRPr="005E2FE7">
              <w:rPr>
                <w:rFonts w:ascii="Times New Roman" w:hAnsi="Times New Roman"/>
              </w:rPr>
              <w:t>85</w:t>
            </w:r>
          </w:p>
        </w:tc>
        <w:tc>
          <w:tcPr>
            <w:tcW w:w="925" w:type="dxa"/>
            <w:vAlign w:val="center"/>
          </w:tcPr>
          <w:p w14:paraId="70AEDFBD" w14:textId="77777777" w:rsidR="005E2FE7" w:rsidRPr="005E2FE7" w:rsidRDefault="005E2FE7" w:rsidP="0087212A">
            <w:pPr>
              <w:jc w:val="center"/>
              <w:rPr>
                <w:rFonts w:ascii="Times New Roman" w:hAnsi="Times New Roman"/>
              </w:rPr>
            </w:pPr>
            <w:r w:rsidRPr="005E2FE7">
              <w:rPr>
                <w:rFonts w:ascii="Times New Roman" w:hAnsi="Times New Roman"/>
              </w:rPr>
              <w:t>70</w:t>
            </w:r>
          </w:p>
        </w:tc>
        <w:tc>
          <w:tcPr>
            <w:tcW w:w="925" w:type="dxa"/>
            <w:vAlign w:val="center"/>
          </w:tcPr>
          <w:p w14:paraId="7FCA3A36" w14:textId="77777777" w:rsidR="005E2FE7" w:rsidRPr="005E2FE7" w:rsidRDefault="005E2FE7" w:rsidP="0087212A">
            <w:pPr>
              <w:jc w:val="center"/>
              <w:rPr>
                <w:rFonts w:ascii="Times New Roman" w:hAnsi="Times New Roman"/>
              </w:rPr>
            </w:pPr>
            <w:r w:rsidRPr="005E2FE7">
              <w:rPr>
                <w:rFonts w:ascii="Times New Roman" w:hAnsi="Times New Roman"/>
              </w:rPr>
              <w:t>85</w:t>
            </w:r>
          </w:p>
        </w:tc>
      </w:tr>
      <w:tr w:rsidR="005E2FE7" w:rsidRPr="005E2FE7" w14:paraId="4D2F2662" w14:textId="77777777" w:rsidTr="0087212A">
        <w:tc>
          <w:tcPr>
            <w:tcW w:w="1848" w:type="dxa"/>
          </w:tcPr>
          <w:p w14:paraId="7A803E8D" w14:textId="77777777" w:rsidR="005E2FE7" w:rsidRPr="005E2FE7" w:rsidRDefault="005E2FE7" w:rsidP="0087212A">
            <w:pPr>
              <w:jc w:val="center"/>
              <w:rPr>
                <w:rFonts w:ascii="Times New Roman" w:hAnsi="Times New Roman"/>
              </w:rPr>
            </w:pPr>
            <w:r w:rsidRPr="005E2FE7">
              <w:rPr>
                <w:rFonts w:ascii="Times New Roman" w:hAnsi="Times New Roman"/>
              </w:rPr>
              <w:t>PPD incl. SoC1</w:t>
            </w:r>
          </w:p>
        </w:tc>
        <w:tc>
          <w:tcPr>
            <w:tcW w:w="924" w:type="dxa"/>
            <w:vAlign w:val="center"/>
          </w:tcPr>
          <w:p w14:paraId="24ECA9C0" w14:textId="77777777" w:rsidR="005E2FE7" w:rsidRPr="005E2FE7" w:rsidRDefault="005E2FE7" w:rsidP="0087212A">
            <w:pPr>
              <w:jc w:val="center"/>
              <w:rPr>
                <w:rFonts w:ascii="Times New Roman" w:hAnsi="Times New Roman"/>
              </w:rPr>
            </w:pPr>
            <w:r w:rsidRPr="005E2FE7">
              <w:rPr>
                <w:rFonts w:ascii="Times New Roman" w:hAnsi="Times New Roman"/>
              </w:rPr>
              <w:t>0</w:t>
            </w:r>
          </w:p>
        </w:tc>
        <w:tc>
          <w:tcPr>
            <w:tcW w:w="924" w:type="dxa"/>
            <w:vAlign w:val="center"/>
          </w:tcPr>
          <w:p w14:paraId="2638EE6A" w14:textId="77777777" w:rsidR="005E2FE7" w:rsidRPr="005E2FE7" w:rsidRDefault="005E2FE7" w:rsidP="0087212A">
            <w:pPr>
              <w:jc w:val="center"/>
              <w:rPr>
                <w:rFonts w:ascii="Times New Roman" w:hAnsi="Times New Roman"/>
              </w:rPr>
            </w:pPr>
            <w:r w:rsidRPr="005E2FE7">
              <w:rPr>
                <w:rFonts w:ascii="Times New Roman" w:hAnsi="Times New Roman"/>
              </w:rPr>
              <w:t>5</w:t>
            </w:r>
          </w:p>
        </w:tc>
        <w:tc>
          <w:tcPr>
            <w:tcW w:w="924" w:type="dxa"/>
            <w:vAlign w:val="center"/>
          </w:tcPr>
          <w:p w14:paraId="711F0CCE" w14:textId="77777777" w:rsidR="005E2FE7" w:rsidRPr="005E2FE7" w:rsidRDefault="005E2FE7" w:rsidP="0087212A">
            <w:pPr>
              <w:jc w:val="center"/>
              <w:rPr>
                <w:rFonts w:ascii="Times New Roman" w:hAnsi="Times New Roman"/>
              </w:rPr>
            </w:pPr>
            <w:r w:rsidRPr="005E2FE7">
              <w:rPr>
                <w:rFonts w:ascii="Times New Roman" w:hAnsi="Times New Roman"/>
              </w:rPr>
              <w:t>2.5</w:t>
            </w:r>
          </w:p>
        </w:tc>
        <w:tc>
          <w:tcPr>
            <w:tcW w:w="924" w:type="dxa"/>
            <w:vAlign w:val="center"/>
          </w:tcPr>
          <w:p w14:paraId="4F3B32CC" w14:textId="77777777" w:rsidR="005E2FE7" w:rsidRPr="005E2FE7" w:rsidRDefault="005E2FE7" w:rsidP="0087212A">
            <w:pPr>
              <w:jc w:val="center"/>
              <w:rPr>
                <w:rFonts w:ascii="Times New Roman" w:hAnsi="Times New Roman"/>
              </w:rPr>
            </w:pPr>
            <w:r w:rsidRPr="005E2FE7">
              <w:rPr>
                <w:rFonts w:ascii="Times New Roman" w:hAnsi="Times New Roman"/>
              </w:rPr>
              <w:t>5</w:t>
            </w:r>
          </w:p>
        </w:tc>
        <w:tc>
          <w:tcPr>
            <w:tcW w:w="925" w:type="dxa"/>
            <w:vAlign w:val="center"/>
          </w:tcPr>
          <w:p w14:paraId="2D188E9B" w14:textId="77777777" w:rsidR="005E2FE7" w:rsidRPr="005E2FE7" w:rsidRDefault="005E2FE7" w:rsidP="0087212A">
            <w:pPr>
              <w:jc w:val="center"/>
              <w:rPr>
                <w:rFonts w:ascii="Times New Roman" w:hAnsi="Times New Roman"/>
              </w:rPr>
            </w:pPr>
            <w:r w:rsidRPr="005E2FE7">
              <w:rPr>
                <w:rFonts w:ascii="Times New Roman" w:hAnsi="Times New Roman"/>
              </w:rPr>
              <w:t>0</w:t>
            </w:r>
          </w:p>
        </w:tc>
        <w:tc>
          <w:tcPr>
            <w:tcW w:w="925" w:type="dxa"/>
            <w:vAlign w:val="center"/>
          </w:tcPr>
          <w:p w14:paraId="2223A9A0" w14:textId="77777777" w:rsidR="005E2FE7" w:rsidRPr="005E2FE7" w:rsidRDefault="005E2FE7" w:rsidP="0087212A">
            <w:pPr>
              <w:jc w:val="center"/>
              <w:rPr>
                <w:rFonts w:ascii="Times New Roman" w:hAnsi="Times New Roman"/>
              </w:rPr>
            </w:pPr>
            <w:r w:rsidRPr="005E2FE7">
              <w:rPr>
                <w:rFonts w:ascii="Times New Roman" w:hAnsi="Times New Roman"/>
              </w:rPr>
              <w:t>0</w:t>
            </w:r>
          </w:p>
        </w:tc>
      </w:tr>
      <w:tr w:rsidR="005E2FE7" w:rsidRPr="005E2FE7" w14:paraId="4A3B35AF" w14:textId="77777777" w:rsidTr="0087212A">
        <w:tc>
          <w:tcPr>
            <w:tcW w:w="1848" w:type="dxa"/>
            <w:tcBorders>
              <w:bottom w:val="single" w:sz="4" w:space="0" w:color="auto"/>
            </w:tcBorders>
          </w:tcPr>
          <w:p w14:paraId="24E04D7A" w14:textId="77777777" w:rsidR="005E2FE7" w:rsidRPr="005E2FE7" w:rsidRDefault="005E2FE7" w:rsidP="0087212A">
            <w:pPr>
              <w:jc w:val="center"/>
              <w:rPr>
                <w:rFonts w:ascii="Times New Roman" w:hAnsi="Times New Roman"/>
              </w:rPr>
            </w:pPr>
            <w:r w:rsidRPr="005E2FE7">
              <w:rPr>
                <w:rFonts w:ascii="Times New Roman" w:hAnsi="Times New Roman"/>
              </w:rPr>
              <w:t>PPD incl. SoC2</w:t>
            </w:r>
          </w:p>
        </w:tc>
        <w:tc>
          <w:tcPr>
            <w:tcW w:w="924" w:type="dxa"/>
            <w:tcBorders>
              <w:bottom w:val="single" w:sz="4" w:space="0" w:color="auto"/>
            </w:tcBorders>
            <w:vAlign w:val="center"/>
          </w:tcPr>
          <w:p w14:paraId="4C090CEC" w14:textId="77777777" w:rsidR="005E2FE7" w:rsidRPr="005E2FE7" w:rsidRDefault="005E2FE7" w:rsidP="0087212A">
            <w:pPr>
              <w:jc w:val="center"/>
              <w:rPr>
                <w:rFonts w:ascii="Times New Roman" w:hAnsi="Times New Roman"/>
              </w:rPr>
            </w:pPr>
            <w:r w:rsidRPr="005E2FE7">
              <w:rPr>
                <w:rFonts w:ascii="Times New Roman" w:hAnsi="Times New Roman"/>
              </w:rPr>
              <w:t>0</w:t>
            </w:r>
          </w:p>
        </w:tc>
        <w:tc>
          <w:tcPr>
            <w:tcW w:w="924" w:type="dxa"/>
            <w:tcBorders>
              <w:bottom w:val="single" w:sz="4" w:space="0" w:color="auto"/>
            </w:tcBorders>
            <w:vAlign w:val="center"/>
          </w:tcPr>
          <w:p w14:paraId="12419E24" w14:textId="77777777" w:rsidR="005E2FE7" w:rsidRPr="005E2FE7" w:rsidRDefault="005E2FE7" w:rsidP="0087212A">
            <w:pPr>
              <w:jc w:val="center"/>
              <w:rPr>
                <w:rFonts w:ascii="Times New Roman" w:hAnsi="Times New Roman"/>
              </w:rPr>
            </w:pPr>
            <w:r w:rsidRPr="005E2FE7">
              <w:rPr>
                <w:rFonts w:ascii="Times New Roman" w:hAnsi="Times New Roman"/>
              </w:rPr>
              <w:t>5</w:t>
            </w:r>
          </w:p>
        </w:tc>
        <w:tc>
          <w:tcPr>
            <w:tcW w:w="924" w:type="dxa"/>
            <w:tcBorders>
              <w:bottom w:val="single" w:sz="4" w:space="0" w:color="auto"/>
            </w:tcBorders>
            <w:vAlign w:val="center"/>
          </w:tcPr>
          <w:p w14:paraId="7A5C8DD6" w14:textId="77777777" w:rsidR="005E2FE7" w:rsidRPr="005E2FE7" w:rsidRDefault="005E2FE7" w:rsidP="0087212A">
            <w:pPr>
              <w:jc w:val="center"/>
              <w:rPr>
                <w:rFonts w:ascii="Times New Roman" w:hAnsi="Times New Roman"/>
              </w:rPr>
            </w:pPr>
            <w:r w:rsidRPr="005E2FE7">
              <w:rPr>
                <w:rFonts w:ascii="Times New Roman" w:hAnsi="Times New Roman"/>
              </w:rPr>
              <w:t>0</w:t>
            </w:r>
          </w:p>
        </w:tc>
        <w:tc>
          <w:tcPr>
            <w:tcW w:w="924" w:type="dxa"/>
            <w:tcBorders>
              <w:bottom w:val="single" w:sz="4" w:space="0" w:color="auto"/>
            </w:tcBorders>
            <w:vAlign w:val="center"/>
          </w:tcPr>
          <w:p w14:paraId="4BBA44E0" w14:textId="77777777" w:rsidR="005E2FE7" w:rsidRPr="005E2FE7" w:rsidRDefault="005E2FE7" w:rsidP="0087212A">
            <w:pPr>
              <w:jc w:val="center"/>
              <w:rPr>
                <w:rFonts w:ascii="Times New Roman" w:hAnsi="Times New Roman"/>
              </w:rPr>
            </w:pPr>
            <w:r w:rsidRPr="005E2FE7">
              <w:rPr>
                <w:rFonts w:ascii="Times New Roman" w:hAnsi="Times New Roman"/>
              </w:rPr>
              <w:t>0</w:t>
            </w:r>
          </w:p>
        </w:tc>
        <w:tc>
          <w:tcPr>
            <w:tcW w:w="925" w:type="dxa"/>
            <w:tcBorders>
              <w:bottom w:val="single" w:sz="4" w:space="0" w:color="auto"/>
            </w:tcBorders>
            <w:vAlign w:val="center"/>
          </w:tcPr>
          <w:p w14:paraId="43F12236" w14:textId="77777777" w:rsidR="005E2FE7" w:rsidRPr="005E2FE7" w:rsidRDefault="005E2FE7" w:rsidP="0087212A">
            <w:pPr>
              <w:jc w:val="center"/>
              <w:rPr>
                <w:rFonts w:ascii="Times New Roman" w:hAnsi="Times New Roman"/>
              </w:rPr>
            </w:pPr>
            <w:r w:rsidRPr="005E2FE7">
              <w:rPr>
                <w:rFonts w:ascii="Times New Roman" w:hAnsi="Times New Roman"/>
              </w:rPr>
              <w:t>2.5</w:t>
            </w:r>
          </w:p>
        </w:tc>
        <w:tc>
          <w:tcPr>
            <w:tcW w:w="925" w:type="dxa"/>
            <w:tcBorders>
              <w:bottom w:val="single" w:sz="4" w:space="0" w:color="auto"/>
            </w:tcBorders>
            <w:vAlign w:val="center"/>
          </w:tcPr>
          <w:p w14:paraId="14BA4D7B" w14:textId="77777777" w:rsidR="005E2FE7" w:rsidRPr="005E2FE7" w:rsidRDefault="005E2FE7" w:rsidP="0087212A">
            <w:pPr>
              <w:jc w:val="center"/>
              <w:rPr>
                <w:rFonts w:ascii="Times New Roman" w:hAnsi="Times New Roman"/>
              </w:rPr>
            </w:pPr>
            <w:r w:rsidRPr="005E2FE7">
              <w:rPr>
                <w:rFonts w:ascii="Times New Roman" w:hAnsi="Times New Roman"/>
              </w:rPr>
              <w:t>5</w:t>
            </w:r>
          </w:p>
        </w:tc>
      </w:tr>
    </w:tbl>
    <w:p w14:paraId="5C8757C9" w14:textId="77777777" w:rsidR="005E2FE7" w:rsidRPr="00D51BE9" w:rsidRDefault="005E2FE7" w:rsidP="005E2FE7">
      <w:pPr>
        <w:spacing w:before="120"/>
      </w:pPr>
      <w:r>
        <w:rPr>
          <w:b/>
        </w:rPr>
        <w:t xml:space="preserve">Table </w:t>
      </w:r>
      <w:r w:rsidR="001E14DE">
        <w:rPr>
          <w:b/>
        </w:rPr>
        <w:t>3</w:t>
      </w:r>
      <w:r>
        <w:rPr>
          <w:b/>
        </w:rPr>
        <w:t>:</w:t>
      </w:r>
      <w:r w:rsidR="003D272D">
        <w:rPr>
          <w:b/>
        </w:rPr>
        <w:t xml:space="preserve"> </w:t>
      </w:r>
      <w:r w:rsidR="003D272D" w:rsidRPr="00D51BE9">
        <w:t>BP</w:t>
      </w:r>
      <w:r w:rsidR="008405FA">
        <w:t>s</w:t>
      </w:r>
      <w:r w:rsidR="003D272D" w:rsidRPr="00D51BE9">
        <w:t xml:space="preserve"> grouped in a core</w:t>
      </w:r>
      <w:r w:rsidR="008405FA">
        <w:t xml:space="preserve"> that includes separate </w:t>
      </w:r>
      <w:r w:rsidR="003D272D" w:rsidRPr="00D51BE9">
        <w:t>meta-SPC</w:t>
      </w:r>
      <w:r w:rsidR="008405FA">
        <w:t>s</w:t>
      </w:r>
      <w:r w:rsidR="003D272D" w:rsidRPr="00D51BE9">
        <w:t xml:space="preserve"> because of different H&amp;P statements</w:t>
      </w:r>
    </w:p>
    <w:p w14:paraId="4F3F925C" w14:textId="77777777" w:rsidR="005E2FE7" w:rsidRPr="00845A73" w:rsidRDefault="005E2FE7" w:rsidP="005E2FE7">
      <w:pPr>
        <w:rPr>
          <w:b/>
          <w:u w:val="single"/>
        </w:rPr>
      </w:pPr>
      <w:r w:rsidRPr="00845A73">
        <w:t>The products with different PPD combinations cannot be presented in one meta-SPC because of different H-</w:t>
      </w:r>
      <w:r w:rsidR="005053B8" w:rsidRPr="00845A73">
        <w:t>phrases that</w:t>
      </w:r>
      <w:r w:rsidRPr="00845A73">
        <w:t xml:space="preserve"> must be entered in chapter 3 of the SPC. However, as long as all the products can be covered by the same core assessment (e.g. because the sensitising preservatives are similar) a separate application which would be in a large part redundant should be avoided. An example for the identification of the </w:t>
      </w:r>
      <w:r w:rsidR="003D272D" w:rsidRPr="00845A73">
        <w:t>worst-case</w:t>
      </w:r>
      <w:r w:rsidRPr="00845A73">
        <w:t xml:space="preserve"> combination for such a core can be found in </w:t>
      </w:r>
      <w:r w:rsidR="005053B8">
        <w:t>e</w:t>
      </w:r>
      <w:r w:rsidRPr="00845A73">
        <w:t>xample 2.1.</w:t>
      </w:r>
    </w:p>
    <w:p w14:paraId="54DEB32E" w14:textId="77777777" w:rsidR="00131D78" w:rsidRDefault="00131D78">
      <w:pPr>
        <w:spacing w:after="0"/>
        <w:jc w:val="left"/>
        <w:rPr>
          <w:b/>
          <w:u w:val="single"/>
        </w:rPr>
      </w:pPr>
      <w:r>
        <w:rPr>
          <w:b/>
          <w:u w:val="single"/>
        </w:rPr>
        <w:br w:type="page"/>
      </w:r>
    </w:p>
    <w:p w14:paraId="7E8CCACB" w14:textId="77777777" w:rsidR="005E2FE7" w:rsidRPr="00845A73" w:rsidRDefault="005E2FE7" w:rsidP="005E2FE7">
      <w:pPr>
        <w:rPr>
          <w:b/>
        </w:rPr>
      </w:pPr>
      <w:r w:rsidRPr="00845A73">
        <w:rPr>
          <w:b/>
          <w:u w:val="single"/>
        </w:rPr>
        <w:lastRenderedPageBreak/>
        <w:t>Example 1.2</w:t>
      </w:r>
      <w:r w:rsidRPr="00845A73">
        <w:rPr>
          <w:b/>
        </w:rPr>
        <w:t xml:space="preserve"> </w:t>
      </w:r>
      <w:r w:rsidR="005053B8">
        <w:rPr>
          <w:b/>
        </w:rPr>
        <w:t xml:space="preserve">: </w:t>
      </w:r>
      <w:r w:rsidRPr="00845A73">
        <w:rPr>
          <w:b/>
        </w:rPr>
        <w:t>Concentrate and corresponding RTU products in one BPF:</w:t>
      </w:r>
    </w:p>
    <w:p w14:paraId="7A4CBAD7" w14:textId="77777777" w:rsidR="005E2FE7" w:rsidRPr="00845A73" w:rsidRDefault="005E2FE7" w:rsidP="005E2FE7">
      <w:r w:rsidRPr="00845A73">
        <w:t>The BPF applied for includes concentrates (60-80 % active substance dissolved in 20-40 % Solvent 1). Before use the user dilutes the concentrates with solvent 2 (1:9 ratio). Accordingly, the in-use concentration is 6-8 % active substance. These concentrates are presented in meta</w:t>
      </w:r>
      <w:r w:rsidR="0013585E">
        <w:t>-</w:t>
      </w:r>
      <w:r w:rsidRPr="00845A73">
        <w:t xml:space="preserve">SPC 1 (see table </w:t>
      </w:r>
      <w:r w:rsidR="009F614B">
        <w:t>4</w:t>
      </w:r>
      <w:r w:rsidRPr="00845A73">
        <w:t xml:space="preserve"> below).</w:t>
      </w:r>
    </w:p>
    <w:p w14:paraId="6CA8B5ED" w14:textId="77777777" w:rsidR="005E2FE7" w:rsidRPr="00845A73" w:rsidRDefault="005E2FE7" w:rsidP="005E2FE7">
      <w:r w:rsidRPr="00845A73">
        <w:t>Additionally, the corresponding RTU products are placed on the market. The only difference is that there is no mixing and loading step for the user. These RTU products are presented in meta</w:t>
      </w:r>
      <w:r w:rsidR="0013585E">
        <w:t>-</w:t>
      </w:r>
      <w:r w:rsidRPr="00845A73">
        <w:t xml:space="preserve">SPC 2 (see table </w:t>
      </w:r>
      <w:r w:rsidR="009F614B">
        <w:t>4</w:t>
      </w:r>
      <w:r w:rsidRPr="00845A73">
        <w:t xml:space="preserve"> below).</w:t>
      </w:r>
    </w:p>
    <w:p w14:paraId="1F582DA0" w14:textId="77777777" w:rsidR="005E2FE7" w:rsidRPr="00845A73" w:rsidRDefault="005E2FE7" w:rsidP="005E2FE7">
      <w:r w:rsidRPr="00845A73">
        <w:t>The concentrates and RTU products cannot be presented in one meta-SPC because of different active substance contents which must be entered in chapter 2.1 of the SPC. For meta</w:t>
      </w:r>
      <w:r w:rsidR="0013585E">
        <w:t>-</w:t>
      </w:r>
      <w:r w:rsidRPr="00845A73">
        <w:t>SPC 1 this is 60-80%. For meta</w:t>
      </w:r>
      <w:r w:rsidR="0013585E">
        <w:t>-</w:t>
      </w:r>
      <w:r w:rsidRPr="00845A73">
        <w:t>SPC 2 this is 6-8 %.</w:t>
      </w:r>
    </w:p>
    <w:p w14:paraId="14DB1597" w14:textId="77777777" w:rsidR="005E2FE7" w:rsidRPr="00845A73" w:rsidRDefault="005E2FE7" w:rsidP="005053B8">
      <w:pPr>
        <w:rPr>
          <w:b/>
        </w:rPr>
      </w:pPr>
      <w:r w:rsidRPr="00845A73">
        <w:t>While the core composition is normally based on the largest variations (smallest min. value and largest max. value of all the meta SPCs) of each ingredient</w:t>
      </w:r>
      <w:r w:rsidR="0013585E">
        <w:t>,</w:t>
      </w:r>
      <w:r w:rsidRPr="00845A73">
        <w:t xml:space="preserve"> the inclusion of concentrate and RTU into one BPF makes it necessary to consider a „second“ core composition for the core assessment (see table </w:t>
      </w:r>
      <w:r w:rsidR="009F614B">
        <w:t>4</w:t>
      </w:r>
      <w:r w:rsidRPr="00845A73">
        <w:t xml:space="preserve"> below (columns in orange)). This is the only scenario where MS consider more than one core composition as acceptable.</w:t>
      </w:r>
    </w:p>
    <w:tbl>
      <w:tblPr>
        <w:tblStyle w:val="TableGrid"/>
        <w:tblW w:w="0" w:type="auto"/>
        <w:tblLook w:val="04A0" w:firstRow="1" w:lastRow="0" w:firstColumn="1" w:lastColumn="0" w:noHBand="0" w:noVBand="1"/>
      </w:tblPr>
      <w:tblGrid>
        <w:gridCol w:w="1413"/>
        <w:gridCol w:w="689"/>
        <w:gridCol w:w="712"/>
        <w:gridCol w:w="729"/>
        <w:gridCol w:w="736"/>
        <w:gridCol w:w="690"/>
        <w:gridCol w:w="712"/>
        <w:gridCol w:w="690"/>
        <w:gridCol w:w="712"/>
        <w:gridCol w:w="766"/>
        <w:gridCol w:w="759"/>
      </w:tblGrid>
      <w:tr w:rsidR="005E2FE7" w:rsidRPr="005053B8" w14:paraId="78CBEC2C" w14:textId="77777777" w:rsidTr="00525EE4">
        <w:tc>
          <w:tcPr>
            <w:tcW w:w="1413" w:type="dxa"/>
            <w:vMerge w:val="restart"/>
            <w:vAlign w:val="center"/>
          </w:tcPr>
          <w:p w14:paraId="33D7F9C1" w14:textId="77777777" w:rsidR="005E2FE7" w:rsidRPr="005053B8" w:rsidRDefault="005E2FE7" w:rsidP="0087212A">
            <w:pPr>
              <w:jc w:val="center"/>
              <w:rPr>
                <w:rFonts w:ascii="Times New Roman" w:hAnsi="Times New Roman"/>
              </w:rPr>
            </w:pPr>
            <w:r w:rsidRPr="005053B8">
              <w:rPr>
                <w:rFonts w:ascii="Times New Roman" w:hAnsi="Times New Roman"/>
                <w:b/>
              </w:rPr>
              <w:t>Ingredients</w:t>
            </w:r>
          </w:p>
        </w:tc>
        <w:tc>
          <w:tcPr>
            <w:tcW w:w="1401" w:type="dxa"/>
            <w:gridSpan w:val="2"/>
            <w:vMerge w:val="restart"/>
            <w:shd w:val="clear" w:color="auto" w:fill="auto"/>
          </w:tcPr>
          <w:p w14:paraId="7F9527EB" w14:textId="77777777" w:rsidR="005E2FE7" w:rsidRPr="005E62A8" w:rsidRDefault="005E2FE7" w:rsidP="0087212A">
            <w:pPr>
              <w:jc w:val="center"/>
              <w:rPr>
                <w:rFonts w:ascii="Times New Roman" w:hAnsi="Times New Roman"/>
                <w:b/>
              </w:rPr>
            </w:pPr>
            <w:r w:rsidRPr="005E62A8">
              <w:rPr>
                <w:rFonts w:ascii="Times New Roman" w:hAnsi="Times New Roman"/>
                <w:b/>
              </w:rPr>
              <w:t>Level 1</w:t>
            </w:r>
          </w:p>
        </w:tc>
        <w:tc>
          <w:tcPr>
            <w:tcW w:w="2867" w:type="dxa"/>
            <w:gridSpan w:val="4"/>
            <w:shd w:val="clear" w:color="auto" w:fill="FFC000"/>
            <w:vAlign w:val="center"/>
          </w:tcPr>
          <w:p w14:paraId="1829552A" w14:textId="77777777" w:rsidR="005E2FE7" w:rsidRPr="005E62A8" w:rsidRDefault="005E2FE7" w:rsidP="0087212A">
            <w:pPr>
              <w:jc w:val="center"/>
              <w:rPr>
                <w:rFonts w:ascii="Times New Roman" w:hAnsi="Times New Roman"/>
                <w:b/>
              </w:rPr>
            </w:pPr>
            <w:r w:rsidRPr="005E62A8">
              <w:rPr>
                <w:rFonts w:ascii="Times New Roman" w:hAnsi="Times New Roman"/>
                <w:b/>
              </w:rPr>
              <w:t>Core composition</w:t>
            </w:r>
          </w:p>
        </w:tc>
        <w:tc>
          <w:tcPr>
            <w:tcW w:w="1402" w:type="dxa"/>
            <w:gridSpan w:val="2"/>
            <w:shd w:val="clear" w:color="auto" w:fill="538135" w:themeFill="accent6" w:themeFillShade="BF"/>
            <w:vAlign w:val="center"/>
          </w:tcPr>
          <w:p w14:paraId="04B4EA3A" w14:textId="77777777" w:rsidR="005E2FE7" w:rsidRPr="005053B8" w:rsidRDefault="005E2FE7" w:rsidP="0087212A">
            <w:pPr>
              <w:jc w:val="center"/>
              <w:rPr>
                <w:rFonts w:ascii="Times New Roman" w:hAnsi="Times New Roman"/>
                <w:b/>
              </w:rPr>
            </w:pPr>
            <w:r w:rsidRPr="005053B8">
              <w:rPr>
                <w:rFonts w:ascii="Times New Roman" w:hAnsi="Times New Roman"/>
                <w:b/>
              </w:rPr>
              <w:t>Meta 1</w:t>
            </w:r>
          </w:p>
        </w:tc>
        <w:tc>
          <w:tcPr>
            <w:tcW w:w="1525" w:type="dxa"/>
            <w:gridSpan w:val="2"/>
            <w:shd w:val="clear" w:color="auto" w:fill="538135" w:themeFill="accent6" w:themeFillShade="BF"/>
            <w:vAlign w:val="center"/>
          </w:tcPr>
          <w:p w14:paraId="2B8A6EDD" w14:textId="77777777" w:rsidR="005E2FE7" w:rsidRPr="005053B8" w:rsidRDefault="005E2FE7" w:rsidP="0087212A">
            <w:pPr>
              <w:jc w:val="center"/>
              <w:rPr>
                <w:rFonts w:ascii="Times New Roman" w:hAnsi="Times New Roman"/>
                <w:b/>
              </w:rPr>
            </w:pPr>
            <w:r w:rsidRPr="005053B8">
              <w:rPr>
                <w:rFonts w:ascii="Times New Roman" w:hAnsi="Times New Roman"/>
                <w:b/>
              </w:rPr>
              <w:t>Meta 2</w:t>
            </w:r>
          </w:p>
        </w:tc>
      </w:tr>
      <w:tr w:rsidR="00525EE4" w:rsidRPr="005053B8" w14:paraId="2FD84FCB" w14:textId="77777777" w:rsidTr="00525EE4">
        <w:tc>
          <w:tcPr>
            <w:tcW w:w="1413" w:type="dxa"/>
            <w:vMerge/>
            <w:vAlign w:val="center"/>
          </w:tcPr>
          <w:p w14:paraId="423056A9" w14:textId="77777777" w:rsidR="00525EE4" w:rsidRPr="005053B8" w:rsidRDefault="00525EE4" w:rsidP="0087212A">
            <w:pPr>
              <w:jc w:val="center"/>
              <w:rPr>
                <w:rFonts w:ascii="Times New Roman" w:hAnsi="Times New Roman"/>
              </w:rPr>
            </w:pPr>
          </w:p>
        </w:tc>
        <w:tc>
          <w:tcPr>
            <w:tcW w:w="1401" w:type="dxa"/>
            <w:gridSpan w:val="2"/>
            <w:vMerge/>
            <w:shd w:val="clear" w:color="auto" w:fill="auto"/>
          </w:tcPr>
          <w:p w14:paraId="537962D7" w14:textId="77777777" w:rsidR="00525EE4" w:rsidRPr="005053B8" w:rsidRDefault="00525EE4" w:rsidP="0087212A">
            <w:pPr>
              <w:jc w:val="center"/>
              <w:rPr>
                <w:rFonts w:ascii="Times New Roman" w:hAnsi="Times New Roman"/>
                <w:b/>
                <w:i/>
              </w:rPr>
            </w:pPr>
          </w:p>
        </w:tc>
        <w:tc>
          <w:tcPr>
            <w:tcW w:w="1465" w:type="dxa"/>
            <w:gridSpan w:val="2"/>
            <w:shd w:val="clear" w:color="auto" w:fill="FFC000"/>
            <w:vAlign w:val="center"/>
          </w:tcPr>
          <w:p w14:paraId="72D1BCF3" w14:textId="77777777" w:rsidR="00525EE4" w:rsidRPr="005053B8" w:rsidRDefault="00525EE4" w:rsidP="0087212A">
            <w:pPr>
              <w:jc w:val="center"/>
              <w:rPr>
                <w:rFonts w:ascii="Times New Roman" w:hAnsi="Times New Roman"/>
                <w:b/>
              </w:rPr>
            </w:pPr>
            <w:r w:rsidRPr="005053B8">
              <w:rPr>
                <w:rFonts w:ascii="Times New Roman" w:hAnsi="Times New Roman"/>
                <w:b/>
              </w:rPr>
              <w:t>Concentrate</w:t>
            </w:r>
          </w:p>
        </w:tc>
        <w:tc>
          <w:tcPr>
            <w:tcW w:w="1402" w:type="dxa"/>
            <w:gridSpan w:val="2"/>
            <w:shd w:val="clear" w:color="auto" w:fill="FFC000"/>
            <w:vAlign w:val="center"/>
          </w:tcPr>
          <w:p w14:paraId="734AB73A" w14:textId="77777777" w:rsidR="00525EE4" w:rsidRPr="005053B8" w:rsidRDefault="00525EE4" w:rsidP="0087212A">
            <w:pPr>
              <w:jc w:val="center"/>
              <w:rPr>
                <w:rFonts w:ascii="Times New Roman" w:hAnsi="Times New Roman"/>
                <w:b/>
              </w:rPr>
            </w:pPr>
            <w:r w:rsidRPr="005053B8">
              <w:rPr>
                <w:rFonts w:ascii="Times New Roman" w:hAnsi="Times New Roman"/>
                <w:b/>
              </w:rPr>
              <w:t>RTU</w:t>
            </w:r>
          </w:p>
        </w:tc>
        <w:tc>
          <w:tcPr>
            <w:tcW w:w="2927" w:type="dxa"/>
            <w:gridSpan w:val="4"/>
            <w:shd w:val="clear" w:color="auto" w:fill="538135" w:themeFill="accent6" w:themeFillShade="BF"/>
            <w:vAlign w:val="center"/>
          </w:tcPr>
          <w:p w14:paraId="14641D24" w14:textId="77777777" w:rsidR="00525EE4" w:rsidRPr="00525EE4" w:rsidRDefault="00525EE4" w:rsidP="0087212A">
            <w:pPr>
              <w:jc w:val="center"/>
              <w:rPr>
                <w:rFonts w:ascii="Times New Roman" w:hAnsi="Times New Roman"/>
                <w:b/>
              </w:rPr>
            </w:pPr>
            <w:r w:rsidRPr="00525EE4">
              <w:rPr>
                <w:rFonts w:ascii="Times New Roman" w:hAnsi="Times New Roman"/>
                <w:b/>
              </w:rPr>
              <w:t>Reason for creation of add. meta:</w:t>
            </w:r>
          </w:p>
          <w:p w14:paraId="5FBEA54C" w14:textId="77777777" w:rsidR="00525EE4" w:rsidRPr="005053B8" w:rsidRDefault="00525EE4" w:rsidP="00525EE4">
            <w:pPr>
              <w:jc w:val="center"/>
              <w:rPr>
                <w:rFonts w:ascii="Times New Roman" w:hAnsi="Times New Roman"/>
              </w:rPr>
            </w:pPr>
            <w:r>
              <w:rPr>
                <w:rFonts w:ascii="Times New Roman" w:hAnsi="Times New Roman"/>
              </w:rPr>
              <w:t xml:space="preserve">Different AS concentration in </w:t>
            </w:r>
            <w:r w:rsidRPr="005053B8">
              <w:rPr>
                <w:rFonts w:ascii="Times New Roman" w:hAnsi="Times New Roman"/>
              </w:rPr>
              <w:t xml:space="preserve">RTU </w:t>
            </w:r>
            <w:r>
              <w:rPr>
                <w:rFonts w:ascii="Times New Roman" w:hAnsi="Times New Roman"/>
              </w:rPr>
              <w:t>and conentrates</w:t>
            </w:r>
          </w:p>
        </w:tc>
      </w:tr>
      <w:tr w:rsidR="005053B8" w:rsidRPr="005053B8" w14:paraId="74C300FF" w14:textId="77777777" w:rsidTr="00525EE4">
        <w:tc>
          <w:tcPr>
            <w:tcW w:w="1413" w:type="dxa"/>
            <w:vMerge/>
            <w:vAlign w:val="center"/>
          </w:tcPr>
          <w:p w14:paraId="1879E9E7" w14:textId="77777777" w:rsidR="005E2FE7" w:rsidRPr="005053B8" w:rsidRDefault="005E2FE7" w:rsidP="0087212A">
            <w:pPr>
              <w:jc w:val="center"/>
              <w:rPr>
                <w:rFonts w:ascii="Times New Roman" w:hAnsi="Times New Roman"/>
              </w:rPr>
            </w:pPr>
          </w:p>
        </w:tc>
        <w:tc>
          <w:tcPr>
            <w:tcW w:w="689" w:type="dxa"/>
            <w:shd w:val="clear" w:color="auto" w:fill="auto"/>
            <w:vAlign w:val="center"/>
          </w:tcPr>
          <w:p w14:paraId="180EFD84" w14:textId="77777777" w:rsidR="005E2FE7" w:rsidRPr="005053B8" w:rsidRDefault="005E2FE7" w:rsidP="0087212A">
            <w:pPr>
              <w:jc w:val="center"/>
              <w:rPr>
                <w:rFonts w:ascii="Times New Roman" w:hAnsi="Times New Roman"/>
                <w:b/>
                <w:i/>
              </w:rPr>
            </w:pPr>
            <w:r w:rsidRPr="005053B8">
              <w:rPr>
                <w:rFonts w:ascii="Times New Roman" w:hAnsi="Times New Roman"/>
                <w:b/>
              </w:rPr>
              <w:t>Min</w:t>
            </w:r>
          </w:p>
        </w:tc>
        <w:tc>
          <w:tcPr>
            <w:tcW w:w="712" w:type="dxa"/>
            <w:shd w:val="clear" w:color="auto" w:fill="auto"/>
            <w:vAlign w:val="center"/>
          </w:tcPr>
          <w:p w14:paraId="12206615" w14:textId="77777777" w:rsidR="005E2FE7" w:rsidRPr="005053B8" w:rsidRDefault="005E2FE7" w:rsidP="0087212A">
            <w:pPr>
              <w:jc w:val="center"/>
              <w:rPr>
                <w:rFonts w:ascii="Times New Roman" w:hAnsi="Times New Roman"/>
                <w:b/>
                <w:i/>
              </w:rPr>
            </w:pPr>
            <w:r w:rsidRPr="005053B8">
              <w:rPr>
                <w:rFonts w:ascii="Times New Roman" w:hAnsi="Times New Roman"/>
                <w:b/>
              </w:rPr>
              <w:t>Max</w:t>
            </w:r>
          </w:p>
        </w:tc>
        <w:tc>
          <w:tcPr>
            <w:tcW w:w="729" w:type="dxa"/>
            <w:tcBorders>
              <w:bottom w:val="single" w:sz="4" w:space="0" w:color="auto"/>
            </w:tcBorders>
            <w:shd w:val="clear" w:color="auto" w:fill="FFC000"/>
            <w:vAlign w:val="center"/>
          </w:tcPr>
          <w:p w14:paraId="7FF8DEC9" w14:textId="77777777" w:rsidR="005E2FE7" w:rsidRPr="005053B8" w:rsidRDefault="005E2FE7" w:rsidP="0087212A">
            <w:pPr>
              <w:jc w:val="center"/>
              <w:rPr>
                <w:rFonts w:ascii="Times New Roman" w:hAnsi="Times New Roman"/>
              </w:rPr>
            </w:pPr>
            <w:r w:rsidRPr="005053B8">
              <w:rPr>
                <w:rFonts w:ascii="Times New Roman" w:hAnsi="Times New Roman"/>
                <w:b/>
              </w:rPr>
              <w:t>Min</w:t>
            </w:r>
          </w:p>
        </w:tc>
        <w:tc>
          <w:tcPr>
            <w:tcW w:w="736" w:type="dxa"/>
            <w:tcBorders>
              <w:bottom w:val="single" w:sz="4" w:space="0" w:color="auto"/>
            </w:tcBorders>
            <w:shd w:val="clear" w:color="auto" w:fill="FFC000"/>
            <w:vAlign w:val="center"/>
          </w:tcPr>
          <w:p w14:paraId="0987B6D7" w14:textId="77777777" w:rsidR="005E2FE7" w:rsidRPr="005053B8" w:rsidRDefault="005E2FE7" w:rsidP="0087212A">
            <w:pPr>
              <w:jc w:val="center"/>
              <w:rPr>
                <w:rFonts w:ascii="Times New Roman" w:hAnsi="Times New Roman"/>
              </w:rPr>
            </w:pPr>
            <w:r w:rsidRPr="005053B8">
              <w:rPr>
                <w:rFonts w:ascii="Times New Roman" w:hAnsi="Times New Roman"/>
                <w:b/>
              </w:rPr>
              <w:t>Max</w:t>
            </w:r>
          </w:p>
        </w:tc>
        <w:tc>
          <w:tcPr>
            <w:tcW w:w="690" w:type="dxa"/>
            <w:tcBorders>
              <w:bottom w:val="single" w:sz="4" w:space="0" w:color="auto"/>
            </w:tcBorders>
            <w:shd w:val="clear" w:color="auto" w:fill="FFC000"/>
            <w:vAlign w:val="center"/>
          </w:tcPr>
          <w:p w14:paraId="367E0649" w14:textId="77777777" w:rsidR="005E2FE7" w:rsidRPr="005053B8" w:rsidRDefault="005E2FE7" w:rsidP="0087212A">
            <w:pPr>
              <w:jc w:val="center"/>
              <w:rPr>
                <w:rFonts w:ascii="Times New Roman" w:hAnsi="Times New Roman"/>
              </w:rPr>
            </w:pPr>
            <w:r w:rsidRPr="005053B8">
              <w:rPr>
                <w:rFonts w:ascii="Times New Roman" w:hAnsi="Times New Roman"/>
                <w:b/>
              </w:rPr>
              <w:t>Min</w:t>
            </w:r>
          </w:p>
        </w:tc>
        <w:tc>
          <w:tcPr>
            <w:tcW w:w="712" w:type="dxa"/>
            <w:tcBorders>
              <w:bottom w:val="single" w:sz="4" w:space="0" w:color="auto"/>
            </w:tcBorders>
            <w:shd w:val="clear" w:color="auto" w:fill="FFC000"/>
            <w:vAlign w:val="center"/>
          </w:tcPr>
          <w:p w14:paraId="1BC3F07E" w14:textId="77777777" w:rsidR="005E2FE7" w:rsidRPr="005053B8" w:rsidRDefault="005E2FE7" w:rsidP="0087212A">
            <w:pPr>
              <w:jc w:val="center"/>
              <w:rPr>
                <w:rFonts w:ascii="Times New Roman" w:hAnsi="Times New Roman"/>
              </w:rPr>
            </w:pPr>
            <w:r w:rsidRPr="005053B8">
              <w:rPr>
                <w:rFonts w:ascii="Times New Roman" w:hAnsi="Times New Roman"/>
                <w:b/>
              </w:rPr>
              <w:t>Max</w:t>
            </w:r>
          </w:p>
        </w:tc>
        <w:tc>
          <w:tcPr>
            <w:tcW w:w="690" w:type="dxa"/>
            <w:shd w:val="clear" w:color="auto" w:fill="538135" w:themeFill="accent6" w:themeFillShade="BF"/>
            <w:vAlign w:val="center"/>
          </w:tcPr>
          <w:p w14:paraId="46EDE0AC" w14:textId="77777777" w:rsidR="005E2FE7" w:rsidRPr="005053B8" w:rsidRDefault="005E2FE7" w:rsidP="0087212A">
            <w:pPr>
              <w:jc w:val="center"/>
              <w:rPr>
                <w:rFonts w:ascii="Times New Roman" w:hAnsi="Times New Roman"/>
                <w:b/>
              </w:rPr>
            </w:pPr>
            <w:r w:rsidRPr="005053B8">
              <w:rPr>
                <w:rFonts w:ascii="Times New Roman" w:hAnsi="Times New Roman"/>
                <w:b/>
              </w:rPr>
              <w:t>Min</w:t>
            </w:r>
          </w:p>
        </w:tc>
        <w:tc>
          <w:tcPr>
            <w:tcW w:w="712" w:type="dxa"/>
            <w:shd w:val="clear" w:color="auto" w:fill="538135" w:themeFill="accent6" w:themeFillShade="BF"/>
            <w:vAlign w:val="center"/>
          </w:tcPr>
          <w:p w14:paraId="2ED10A97" w14:textId="77777777" w:rsidR="005E2FE7" w:rsidRPr="005053B8" w:rsidRDefault="005E2FE7" w:rsidP="0087212A">
            <w:pPr>
              <w:jc w:val="center"/>
              <w:rPr>
                <w:rFonts w:ascii="Times New Roman" w:hAnsi="Times New Roman"/>
                <w:b/>
              </w:rPr>
            </w:pPr>
            <w:r w:rsidRPr="005053B8">
              <w:rPr>
                <w:rFonts w:ascii="Times New Roman" w:hAnsi="Times New Roman"/>
                <w:b/>
              </w:rPr>
              <w:t>Max</w:t>
            </w:r>
          </w:p>
        </w:tc>
        <w:tc>
          <w:tcPr>
            <w:tcW w:w="766" w:type="dxa"/>
            <w:shd w:val="clear" w:color="auto" w:fill="538135" w:themeFill="accent6" w:themeFillShade="BF"/>
            <w:vAlign w:val="center"/>
          </w:tcPr>
          <w:p w14:paraId="2490101C" w14:textId="77777777" w:rsidR="005E2FE7" w:rsidRPr="005053B8" w:rsidRDefault="005E2FE7" w:rsidP="0087212A">
            <w:pPr>
              <w:jc w:val="center"/>
              <w:rPr>
                <w:rFonts w:ascii="Times New Roman" w:hAnsi="Times New Roman"/>
              </w:rPr>
            </w:pPr>
            <w:r w:rsidRPr="005053B8">
              <w:rPr>
                <w:rFonts w:ascii="Times New Roman" w:hAnsi="Times New Roman"/>
                <w:b/>
              </w:rPr>
              <w:t>Min</w:t>
            </w:r>
          </w:p>
        </w:tc>
        <w:tc>
          <w:tcPr>
            <w:tcW w:w="759" w:type="dxa"/>
            <w:shd w:val="clear" w:color="auto" w:fill="538135" w:themeFill="accent6" w:themeFillShade="BF"/>
            <w:vAlign w:val="center"/>
          </w:tcPr>
          <w:p w14:paraId="45C6C010" w14:textId="77777777" w:rsidR="005E2FE7" w:rsidRPr="005053B8" w:rsidRDefault="005E2FE7" w:rsidP="0087212A">
            <w:pPr>
              <w:jc w:val="center"/>
              <w:rPr>
                <w:rFonts w:ascii="Times New Roman" w:hAnsi="Times New Roman"/>
              </w:rPr>
            </w:pPr>
            <w:r w:rsidRPr="005053B8">
              <w:rPr>
                <w:rFonts w:ascii="Times New Roman" w:hAnsi="Times New Roman"/>
                <w:b/>
              </w:rPr>
              <w:t>Max</w:t>
            </w:r>
          </w:p>
        </w:tc>
      </w:tr>
      <w:tr w:rsidR="005053B8" w:rsidRPr="005053B8" w14:paraId="60EB9265" w14:textId="77777777" w:rsidTr="00525EE4">
        <w:tc>
          <w:tcPr>
            <w:tcW w:w="1413" w:type="dxa"/>
          </w:tcPr>
          <w:p w14:paraId="780A3902" w14:textId="77777777" w:rsidR="005E2FE7" w:rsidRPr="005053B8" w:rsidRDefault="005E2FE7" w:rsidP="0087212A">
            <w:pPr>
              <w:jc w:val="center"/>
              <w:rPr>
                <w:rFonts w:ascii="Times New Roman" w:hAnsi="Times New Roman"/>
              </w:rPr>
            </w:pPr>
            <w:r w:rsidRPr="005053B8">
              <w:rPr>
                <w:rFonts w:ascii="Times New Roman" w:hAnsi="Times New Roman"/>
              </w:rPr>
              <w:t>Active substance</w:t>
            </w:r>
          </w:p>
        </w:tc>
        <w:tc>
          <w:tcPr>
            <w:tcW w:w="689" w:type="dxa"/>
            <w:shd w:val="clear" w:color="auto" w:fill="auto"/>
          </w:tcPr>
          <w:p w14:paraId="3B3A0407" w14:textId="77777777" w:rsidR="005E2FE7" w:rsidRPr="00150CB5" w:rsidRDefault="005E2FE7" w:rsidP="003C5EC2">
            <w:pPr>
              <w:spacing w:before="120"/>
              <w:jc w:val="center"/>
              <w:rPr>
                <w:rFonts w:ascii="Times New Roman" w:hAnsi="Times New Roman"/>
              </w:rPr>
            </w:pPr>
            <w:r w:rsidRPr="00150CB5">
              <w:rPr>
                <w:rFonts w:ascii="Times New Roman" w:hAnsi="Times New Roman"/>
              </w:rPr>
              <w:t>6</w:t>
            </w:r>
          </w:p>
        </w:tc>
        <w:tc>
          <w:tcPr>
            <w:tcW w:w="712" w:type="dxa"/>
            <w:shd w:val="clear" w:color="auto" w:fill="auto"/>
          </w:tcPr>
          <w:p w14:paraId="3BB95596" w14:textId="77777777" w:rsidR="005E2FE7" w:rsidRPr="00150CB5" w:rsidRDefault="005E2FE7" w:rsidP="003C5EC2">
            <w:pPr>
              <w:spacing w:before="120"/>
              <w:jc w:val="center"/>
              <w:rPr>
                <w:rFonts w:ascii="Times New Roman" w:hAnsi="Times New Roman"/>
              </w:rPr>
            </w:pPr>
            <w:r w:rsidRPr="00150CB5">
              <w:rPr>
                <w:rFonts w:ascii="Times New Roman" w:hAnsi="Times New Roman"/>
              </w:rPr>
              <w:t>80</w:t>
            </w:r>
          </w:p>
        </w:tc>
        <w:tc>
          <w:tcPr>
            <w:tcW w:w="729" w:type="dxa"/>
            <w:vAlign w:val="center"/>
          </w:tcPr>
          <w:p w14:paraId="50153B8D" w14:textId="77777777" w:rsidR="005E2FE7" w:rsidRPr="00150CB5" w:rsidRDefault="005E2FE7" w:rsidP="0087212A">
            <w:pPr>
              <w:jc w:val="center"/>
              <w:rPr>
                <w:rFonts w:ascii="Times New Roman" w:hAnsi="Times New Roman"/>
              </w:rPr>
            </w:pPr>
            <w:r w:rsidRPr="00150CB5">
              <w:rPr>
                <w:rFonts w:ascii="Times New Roman" w:hAnsi="Times New Roman"/>
              </w:rPr>
              <w:t>60</w:t>
            </w:r>
          </w:p>
        </w:tc>
        <w:tc>
          <w:tcPr>
            <w:tcW w:w="736" w:type="dxa"/>
            <w:vAlign w:val="center"/>
          </w:tcPr>
          <w:p w14:paraId="599A64D1" w14:textId="77777777" w:rsidR="005E2FE7" w:rsidRPr="00150CB5" w:rsidRDefault="005E2FE7" w:rsidP="0087212A">
            <w:pPr>
              <w:jc w:val="center"/>
              <w:rPr>
                <w:rFonts w:ascii="Times New Roman" w:hAnsi="Times New Roman"/>
              </w:rPr>
            </w:pPr>
            <w:r w:rsidRPr="00150CB5">
              <w:rPr>
                <w:rFonts w:ascii="Times New Roman" w:hAnsi="Times New Roman"/>
              </w:rPr>
              <w:t>80</w:t>
            </w:r>
          </w:p>
        </w:tc>
        <w:tc>
          <w:tcPr>
            <w:tcW w:w="690" w:type="dxa"/>
            <w:vAlign w:val="center"/>
          </w:tcPr>
          <w:p w14:paraId="131A828A" w14:textId="77777777" w:rsidR="005E2FE7" w:rsidRPr="00150CB5" w:rsidRDefault="005E2FE7" w:rsidP="0087212A">
            <w:pPr>
              <w:jc w:val="center"/>
              <w:rPr>
                <w:rFonts w:ascii="Times New Roman" w:hAnsi="Times New Roman"/>
              </w:rPr>
            </w:pPr>
            <w:r w:rsidRPr="00150CB5">
              <w:rPr>
                <w:rFonts w:ascii="Times New Roman" w:hAnsi="Times New Roman"/>
              </w:rPr>
              <w:t>6</w:t>
            </w:r>
          </w:p>
        </w:tc>
        <w:tc>
          <w:tcPr>
            <w:tcW w:w="712" w:type="dxa"/>
            <w:vAlign w:val="center"/>
          </w:tcPr>
          <w:p w14:paraId="7B0EAF16" w14:textId="77777777" w:rsidR="005E2FE7" w:rsidRPr="00150CB5" w:rsidRDefault="005E2FE7" w:rsidP="0087212A">
            <w:pPr>
              <w:jc w:val="center"/>
              <w:rPr>
                <w:rFonts w:ascii="Times New Roman" w:hAnsi="Times New Roman"/>
              </w:rPr>
            </w:pPr>
            <w:r w:rsidRPr="00150CB5">
              <w:rPr>
                <w:rFonts w:ascii="Times New Roman" w:hAnsi="Times New Roman"/>
              </w:rPr>
              <w:t>8</w:t>
            </w:r>
          </w:p>
        </w:tc>
        <w:tc>
          <w:tcPr>
            <w:tcW w:w="690" w:type="dxa"/>
            <w:vAlign w:val="center"/>
          </w:tcPr>
          <w:p w14:paraId="7D5FDFB7" w14:textId="77777777" w:rsidR="005E2FE7" w:rsidRPr="00150CB5" w:rsidRDefault="005E2FE7" w:rsidP="0087212A">
            <w:pPr>
              <w:jc w:val="center"/>
              <w:rPr>
                <w:rFonts w:ascii="Times New Roman" w:hAnsi="Times New Roman"/>
              </w:rPr>
            </w:pPr>
            <w:r w:rsidRPr="00150CB5">
              <w:rPr>
                <w:rFonts w:ascii="Times New Roman" w:hAnsi="Times New Roman"/>
              </w:rPr>
              <w:t>60</w:t>
            </w:r>
          </w:p>
        </w:tc>
        <w:tc>
          <w:tcPr>
            <w:tcW w:w="712" w:type="dxa"/>
            <w:vAlign w:val="center"/>
          </w:tcPr>
          <w:p w14:paraId="62167214" w14:textId="77777777" w:rsidR="005E2FE7" w:rsidRPr="00150CB5" w:rsidRDefault="005E2FE7" w:rsidP="0087212A">
            <w:pPr>
              <w:jc w:val="center"/>
              <w:rPr>
                <w:rFonts w:ascii="Times New Roman" w:hAnsi="Times New Roman"/>
              </w:rPr>
            </w:pPr>
            <w:r w:rsidRPr="00150CB5">
              <w:rPr>
                <w:rFonts w:ascii="Times New Roman" w:hAnsi="Times New Roman"/>
              </w:rPr>
              <w:t>80</w:t>
            </w:r>
          </w:p>
        </w:tc>
        <w:tc>
          <w:tcPr>
            <w:tcW w:w="766" w:type="dxa"/>
            <w:vAlign w:val="center"/>
          </w:tcPr>
          <w:p w14:paraId="12235A30" w14:textId="77777777" w:rsidR="005E2FE7" w:rsidRPr="00150CB5" w:rsidRDefault="005E2FE7" w:rsidP="0087212A">
            <w:pPr>
              <w:jc w:val="center"/>
              <w:rPr>
                <w:rFonts w:ascii="Times New Roman" w:hAnsi="Times New Roman"/>
              </w:rPr>
            </w:pPr>
            <w:r w:rsidRPr="00150CB5">
              <w:rPr>
                <w:rFonts w:ascii="Times New Roman" w:hAnsi="Times New Roman"/>
              </w:rPr>
              <w:t>6</w:t>
            </w:r>
          </w:p>
        </w:tc>
        <w:tc>
          <w:tcPr>
            <w:tcW w:w="759" w:type="dxa"/>
            <w:vAlign w:val="center"/>
          </w:tcPr>
          <w:p w14:paraId="71478CA5" w14:textId="77777777" w:rsidR="005E2FE7" w:rsidRPr="00150CB5" w:rsidRDefault="005E2FE7" w:rsidP="0087212A">
            <w:pPr>
              <w:jc w:val="center"/>
              <w:rPr>
                <w:rFonts w:ascii="Times New Roman" w:hAnsi="Times New Roman"/>
              </w:rPr>
            </w:pPr>
            <w:r w:rsidRPr="00150CB5">
              <w:rPr>
                <w:rFonts w:ascii="Times New Roman" w:hAnsi="Times New Roman"/>
              </w:rPr>
              <w:t>8</w:t>
            </w:r>
          </w:p>
        </w:tc>
      </w:tr>
      <w:tr w:rsidR="005053B8" w:rsidRPr="005053B8" w14:paraId="14BAD9DC" w14:textId="77777777" w:rsidTr="00525EE4">
        <w:tc>
          <w:tcPr>
            <w:tcW w:w="1413" w:type="dxa"/>
            <w:tcBorders>
              <w:bottom w:val="single" w:sz="4" w:space="0" w:color="auto"/>
            </w:tcBorders>
          </w:tcPr>
          <w:p w14:paraId="485C21A7" w14:textId="77777777" w:rsidR="005E2FE7" w:rsidRPr="005053B8" w:rsidRDefault="005E2FE7" w:rsidP="0087212A">
            <w:pPr>
              <w:jc w:val="center"/>
              <w:rPr>
                <w:rFonts w:ascii="Times New Roman" w:hAnsi="Times New Roman"/>
              </w:rPr>
            </w:pPr>
            <w:r w:rsidRPr="005053B8">
              <w:rPr>
                <w:rFonts w:ascii="Times New Roman" w:hAnsi="Times New Roman"/>
              </w:rPr>
              <w:t>Solvent 1</w:t>
            </w:r>
          </w:p>
        </w:tc>
        <w:tc>
          <w:tcPr>
            <w:tcW w:w="689" w:type="dxa"/>
            <w:shd w:val="clear" w:color="auto" w:fill="auto"/>
          </w:tcPr>
          <w:p w14:paraId="1183F244" w14:textId="77777777" w:rsidR="005E2FE7" w:rsidRPr="00150CB5" w:rsidRDefault="005E2FE7" w:rsidP="0087212A">
            <w:pPr>
              <w:jc w:val="center"/>
              <w:rPr>
                <w:rFonts w:ascii="Times New Roman" w:hAnsi="Times New Roman"/>
              </w:rPr>
            </w:pPr>
            <w:r w:rsidRPr="00150CB5">
              <w:rPr>
                <w:rFonts w:ascii="Times New Roman" w:hAnsi="Times New Roman"/>
              </w:rPr>
              <w:t>2</w:t>
            </w:r>
          </w:p>
        </w:tc>
        <w:tc>
          <w:tcPr>
            <w:tcW w:w="712" w:type="dxa"/>
            <w:shd w:val="clear" w:color="auto" w:fill="auto"/>
          </w:tcPr>
          <w:p w14:paraId="0DF1D214" w14:textId="77777777" w:rsidR="005E2FE7" w:rsidRPr="00150CB5" w:rsidRDefault="005E2FE7" w:rsidP="0087212A">
            <w:pPr>
              <w:jc w:val="center"/>
              <w:rPr>
                <w:rFonts w:ascii="Times New Roman" w:hAnsi="Times New Roman"/>
              </w:rPr>
            </w:pPr>
            <w:r w:rsidRPr="00150CB5">
              <w:rPr>
                <w:rFonts w:ascii="Times New Roman" w:hAnsi="Times New Roman"/>
              </w:rPr>
              <w:t>40</w:t>
            </w:r>
          </w:p>
        </w:tc>
        <w:tc>
          <w:tcPr>
            <w:tcW w:w="729" w:type="dxa"/>
            <w:vAlign w:val="center"/>
          </w:tcPr>
          <w:p w14:paraId="111505A9" w14:textId="77777777" w:rsidR="005E2FE7" w:rsidRPr="00150CB5" w:rsidRDefault="005E2FE7" w:rsidP="0087212A">
            <w:pPr>
              <w:jc w:val="center"/>
              <w:rPr>
                <w:rFonts w:ascii="Times New Roman" w:hAnsi="Times New Roman"/>
              </w:rPr>
            </w:pPr>
            <w:r w:rsidRPr="00150CB5">
              <w:rPr>
                <w:rFonts w:ascii="Times New Roman" w:hAnsi="Times New Roman"/>
              </w:rPr>
              <w:t>20</w:t>
            </w:r>
          </w:p>
        </w:tc>
        <w:tc>
          <w:tcPr>
            <w:tcW w:w="736" w:type="dxa"/>
            <w:vAlign w:val="center"/>
          </w:tcPr>
          <w:p w14:paraId="6E86E74E" w14:textId="77777777" w:rsidR="005E2FE7" w:rsidRPr="00150CB5" w:rsidRDefault="005E2FE7" w:rsidP="0087212A">
            <w:pPr>
              <w:jc w:val="center"/>
              <w:rPr>
                <w:rFonts w:ascii="Times New Roman" w:hAnsi="Times New Roman"/>
              </w:rPr>
            </w:pPr>
            <w:r w:rsidRPr="00150CB5">
              <w:rPr>
                <w:rFonts w:ascii="Times New Roman" w:hAnsi="Times New Roman"/>
              </w:rPr>
              <w:t>40</w:t>
            </w:r>
          </w:p>
        </w:tc>
        <w:tc>
          <w:tcPr>
            <w:tcW w:w="690" w:type="dxa"/>
            <w:vAlign w:val="center"/>
          </w:tcPr>
          <w:p w14:paraId="48647D0B" w14:textId="77777777" w:rsidR="005E2FE7" w:rsidRPr="00150CB5" w:rsidRDefault="005E2FE7" w:rsidP="0087212A">
            <w:pPr>
              <w:jc w:val="center"/>
              <w:rPr>
                <w:rFonts w:ascii="Times New Roman" w:hAnsi="Times New Roman"/>
              </w:rPr>
            </w:pPr>
            <w:r w:rsidRPr="00150CB5">
              <w:rPr>
                <w:rFonts w:ascii="Times New Roman" w:hAnsi="Times New Roman"/>
              </w:rPr>
              <w:t>2</w:t>
            </w:r>
          </w:p>
        </w:tc>
        <w:tc>
          <w:tcPr>
            <w:tcW w:w="712" w:type="dxa"/>
            <w:vAlign w:val="center"/>
          </w:tcPr>
          <w:p w14:paraId="521DE371" w14:textId="77777777" w:rsidR="005E2FE7" w:rsidRPr="00150CB5" w:rsidRDefault="005E2FE7" w:rsidP="0087212A">
            <w:pPr>
              <w:jc w:val="center"/>
              <w:rPr>
                <w:rFonts w:ascii="Times New Roman" w:hAnsi="Times New Roman"/>
              </w:rPr>
            </w:pPr>
            <w:r w:rsidRPr="00150CB5">
              <w:rPr>
                <w:rFonts w:ascii="Times New Roman" w:hAnsi="Times New Roman"/>
              </w:rPr>
              <w:t>4</w:t>
            </w:r>
          </w:p>
        </w:tc>
        <w:tc>
          <w:tcPr>
            <w:tcW w:w="690" w:type="dxa"/>
            <w:vAlign w:val="center"/>
          </w:tcPr>
          <w:p w14:paraId="5FAB34B9" w14:textId="77777777" w:rsidR="005E2FE7" w:rsidRPr="00150CB5" w:rsidRDefault="005E2FE7" w:rsidP="0087212A">
            <w:pPr>
              <w:jc w:val="center"/>
              <w:rPr>
                <w:rFonts w:ascii="Times New Roman" w:hAnsi="Times New Roman"/>
              </w:rPr>
            </w:pPr>
            <w:r w:rsidRPr="00150CB5">
              <w:rPr>
                <w:rFonts w:ascii="Times New Roman" w:hAnsi="Times New Roman"/>
              </w:rPr>
              <w:t>20</w:t>
            </w:r>
          </w:p>
        </w:tc>
        <w:tc>
          <w:tcPr>
            <w:tcW w:w="712" w:type="dxa"/>
            <w:vAlign w:val="center"/>
          </w:tcPr>
          <w:p w14:paraId="461292C5" w14:textId="77777777" w:rsidR="005E2FE7" w:rsidRPr="00150CB5" w:rsidRDefault="005E2FE7" w:rsidP="0087212A">
            <w:pPr>
              <w:jc w:val="center"/>
              <w:rPr>
                <w:rFonts w:ascii="Times New Roman" w:hAnsi="Times New Roman"/>
              </w:rPr>
            </w:pPr>
            <w:r w:rsidRPr="00150CB5">
              <w:rPr>
                <w:rFonts w:ascii="Times New Roman" w:hAnsi="Times New Roman"/>
              </w:rPr>
              <w:t>40</w:t>
            </w:r>
          </w:p>
        </w:tc>
        <w:tc>
          <w:tcPr>
            <w:tcW w:w="766" w:type="dxa"/>
            <w:vAlign w:val="center"/>
          </w:tcPr>
          <w:p w14:paraId="5195692E" w14:textId="77777777" w:rsidR="005E2FE7" w:rsidRPr="00150CB5" w:rsidRDefault="005E2FE7" w:rsidP="0087212A">
            <w:pPr>
              <w:jc w:val="center"/>
              <w:rPr>
                <w:rFonts w:ascii="Times New Roman" w:hAnsi="Times New Roman"/>
              </w:rPr>
            </w:pPr>
            <w:r w:rsidRPr="00150CB5">
              <w:rPr>
                <w:rFonts w:ascii="Times New Roman" w:hAnsi="Times New Roman"/>
              </w:rPr>
              <w:t>2</w:t>
            </w:r>
          </w:p>
        </w:tc>
        <w:tc>
          <w:tcPr>
            <w:tcW w:w="759" w:type="dxa"/>
            <w:vAlign w:val="center"/>
          </w:tcPr>
          <w:p w14:paraId="6BF0ECD7" w14:textId="77777777" w:rsidR="005E2FE7" w:rsidRPr="00150CB5" w:rsidRDefault="005E2FE7" w:rsidP="0087212A">
            <w:pPr>
              <w:jc w:val="center"/>
              <w:rPr>
                <w:rFonts w:ascii="Times New Roman" w:hAnsi="Times New Roman"/>
              </w:rPr>
            </w:pPr>
            <w:r w:rsidRPr="00150CB5">
              <w:rPr>
                <w:rFonts w:ascii="Times New Roman" w:hAnsi="Times New Roman"/>
              </w:rPr>
              <w:t>4</w:t>
            </w:r>
          </w:p>
        </w:tc>
      </w:tr>
      <w:tr w:rsidR="005053B8" w:rsidRPr="005053B8" w14:paraId="04FAD5AC" w14:textId="77777777" w:rsidTr="00525EE4">
        <w:tc>
          <w:tcPr>
            <w:tcW w:w="1413" w:type="dxa"/>
            <w:tcBorders>
              <w:bottom w:val="single" w:sz="4" w:space="0" w:color="auto"/>
            </w:tcBorders>
          </w:tcPr>
          <w:p w14:paraId="5F449A2C" w14:textId="77777777" w:rsidR="005E2FE7" w:rsidRPr="005053B8" w:rsidRDefault="005E2FE7" w:rsidP="0087212A">
            <w:pPr>
              <w:jc w:val="center"/>
              <w:rPr>
                <w:rFonts w:ascii="Times New Roman" w:hAnsi="Times New Roman"/>
              </w:rPr>
            </w:pPr>
            <w:r w:rsidRPr="005053B8">
              <w:rPr>
                <w:rFonts w:ascii="Times New Roman" w:hAnsi="Times New Roman"/>
              </w:rPr>
              <w:t>Solvent 2</w:t>
            </w:r>
          </w:p>
        </w:tc>
        <w:tc>
          <w:tcPr>
            <w:tcW w:w="689" w:type="dxa"/>
            <w:tcBorders>
              <w:bottom w:val="single" w:sz="4" w:space="0" w:color="auto"/>
            </w:tcBorders>
            <w:shd w:val="clear" w:color="auto" w:fill="auto"/>
          </w:tcPr>
          <w:p w14:paraId="65DB6E3D" w14:textId="77777777" w:rsidR="005E2FE7" w:rsidRPr="00150CB5" w:rsidRDefault="005E2FE7" w:rsidP="0087212A">
            <w:pPr>
              <w:jc w:val="center"/>
              <w:rPr>
                <w:rFonts w:ascii="Times New Roman" w:hAnsi="Times New Roman"/>
              </w:rPr>
            </w:pPr>
            <w:r w:rsidRPr="00150CB5">
              <w:rPr>
                <w:rFonts w:ascii="Times New Roman" w:hAnsi="Times New Roman"/>
              </w:rPr>
              <w:t>0</w:t>
            </w:r>
          </w:p>
        </w:tc>
        <w:tc>
          <w:tcPr>
            <w:tcW w:w="712" w:type="dxa"/>
            <w:tcBorders>
              <w:bottom w:val="single" w:sz="4" w:space="0" w:color="auto"/>
            </w:tcBorders>
            <w:shd w:val="clear" w:color="auto" w:fill="auto"/>
          </w:tcPr>
          <w:p w14:paraId="2E20F559" w14:textId="77777777" w:rsidR="005E2FE7" w:rsidRPr="00150CB5" w:rsidRDefault="005E2FE7" w:rsidP="0087212A">
            <w:pPr>
              <w:jc w:val="center"/>
              <w:rPr>
                <w:rFonts w:ascii="Times New Roman" w:hAnsi="Times New Roman"/>
              </w:rPr>
            </w:pPr>
            <w:r w:rsidRPr="00150CB5">
              <w:rPr>
                <w:rFonts w:ascii="Times New Roman" w:hAnsi="Times New Roman"/>
              </w:rPr>
              <w:t>90</w:t>
            </w:r>
          </w:p>
        </w:tc>
        <w:tc>
          <w:tcPr>
            <w:tcW w:w="729" w:type="dxa"/>
            <w:tcBorders>
              <w:bottom w:val="single" w:sz="4" w:space="0" w:color="auto"/>
            </w:tcBorders>
            <w:vAlign w:val="center"/>
          </w:tcPr>
          <w:p w14:paraId="41713358" w14:textId="77777777" w:rsidR="005E2FE7" w:rsidRPr="00150CB5" w:rsidRDefault="005E2FE7" w:rsidP="0087212A">
            <w:pPr>
              <w:jc w:val="center"/>
              <w:rPr>
                <w:rFonts w:ascii="Times New Roman" w:hAnsi="Times New Roman"/>
              </w:rPr>
            </w:pPr>
            <w:r w:rsidRPr="00150CB5">
              <w:rPr>
                <w:rFonts w:ascii="Times New Roman" w:hAnsi="Times New Roman"/>
              </w:rPr>
              <w:t>0</w:t>
            </w:r>
          </w:p>
        </w:tc>
        <w:tc>
          <w:tcPr>
            <w:tcW w:w="736" w:type="dxa"/>
            <w:tcBorders>
              <w:bottom w:val="single" w:sz="4" w:space="0" w:color="auto"/>
            </w:tcBorders>
            <w:vAlign w:val="center"/>
          </w:tcPr>
          <w:p w14:paraId="2ECB92E8" w14:textId="77777777" w:rsidR="005E2FE7" w:rsidRPr="00150CB5" w:rsidRDefault="005E2FE7" w:rsidP="0087212A">
            <w:pPr>
              <w:jc w:val="center"/>
              <w:rPr>
                <w:rFonts w:ascii="Times New Roman" w:hAnsi="Times New Roman"/>
              </w:rPr>
            </w:pPr>
            <w:r w:rsidRPr="00150CB5">
              <w:rPr>
                <w:rFonts w:ascii="Times New Roman" w:hAnsi="Times New Roman"/>
              </w:rPr>
              <w:t>0</w:t>
            </w:r>
          </w:p>
        </w:tc>
        <w:tc>
          <w:tcPr>
            <w:tcW w:w="690" w:type="dxa"/>
            <w:tcBorders>
              <w:bottom w:val="single" w:sz="4" w:space="0" w:color="auto"/>
            </w:tcBorders>
            <w:vAlign w:val="center"/>
          </w:tcPr>
          <w:p w14:paraId="52CFA340" w14:textId="77777777" w:rsidR="005E2FE7" w:rsidRPr="00150CB5" w:rsidRDefault="005E2FE7" w:rsidP="0087212A">
            <w:pPr>
              <w:jc w:val="center"/>
              <w:rPr>
                <w:rFonts w:ascii="Times New Roman" w:hAnsi="Times New Roman"/>
              </w:rPr>
            </w:pPr>
            <w:r w:rsidRPr="00150CB5">
              <w:rPr>
                <w:rFonts w:ascii="Times New Roman" w:hAnsi="Times New Roman"/>
              </w:rPr>
              <w:t>90</w:t>
            </w:r>
          </w:p>
        </w:tc>
        <w:tc>
          <w:tcPr>
            <w:tcW w:w="712" w:type="dxa"/>
            <w:tcBorders>
              <w:bottom w:val="single" w:sz="4" w:space="0" w:color="auto"/>
            </w:tcBorders>
            <w:vAlign w:val="center"/>
          </w:tcPr>
          <w:p w14:paraId="02B6A758" w14:textId="77777777" w:rsidR="005E2FE7" w:rsidRPr="00150CB5" w:rsidRDefault="005E2FE7" w:rsidP="0087212A">
            <w:pPr>
              <w:jc w:val="center"/>
              <w:rPr>
                <w:rFonts w:ascii="Times New Roman" w:hAnsi="Times New Roman"/>
              </w:rPr>
            </w:pPr>
            <w:r w:rsidRPr="00150CB5">
              <w:rPr>
                <w:rFonts w:ascii="Times New Roman" w:hAnsi="Times New Roman"/>
              </w:rPr>
              <w:t>90</w:t>
            </w:r>
          </w:p>
        </w:tc>
        <w:tc>
          <w:tcPr>
            <w:tcW w:w="690" w:type="dxa"/>
            <w:tcBorders>
              <w:bottom w:val="single" w:sz="4" w:space="0" w:color="auto"/>
            </w:tcBorders>
            <w:vAlign w:val="center"/>
          </w:tcPr>
          <w:p w14:paraId="343E8D52" w14:textId="77777777" w:rsidR="005E2FE7" w:rsidRPr="00150CB5" w:rsidRDefault="005E2FE7" w:rsidP="0087212A">
            <w:pPr>
              <w:jc w:val="center"/>
              <w:rPr>
                <w:rFonts w:ascii="Times New Roman" w:hAnsi="Times New Roman"/>
              </w:rPr>
            </w:pPr>
            <w:r w:rsidRPr="00150CB5">
              <w:rPr>
                <w:rFonts w:ascii="Times New Roman" w:hAnsi="Times New Roman"/>
              </w:rPr>
              <w:t>0</w:t>
            </w:r>
          </w:p>
        </w:tc>
        <w:tc>
          <w:tcPr>
            <w:tcW w:w="712" w:type="dxa"/>
            <w:tcBorders>
              <w:bottom w:val="single" w:sz="4" w:space="0" w:color="auto"/>
            </w:tcBorders>
            <w:vAlign w:val="center"/>
          </w:tcPr>
          <w:p w14:paraId="5EC05F07" w14:textId="77777777" w:rsidR="005E2FE7" w:rsidRPr="00150CB5" w:rsidRDefault="005E2FE7" w:rsidP="0087212A">
            <w:pPr>
              <w:jc w:val="center"/>
              <w:rPr>
                <w:rFonts w:ascii="Times New Roman" w:hAnsi="Times New Roman"/>
              </w:rPr>
            </w:pPr>
            <w:r w:rsidRPr="00150CB5">
              <w:rPr>
                <w:rFonts w:ascii="Times New Roman" w:hAnsi="Times New Roman"/>
              </w:rPr>
              <w:t>0</w:t>
            </w:r>
          </w:p>
        </w:tc>
        <w:tc>
          <w:tcPr>
            <w:tcW w:w="766" w:type="dxa"/>
            <w:tcBorders>
              <w:bottom w:val="single" w:sz="4" w:space="0" w:color="auto"/>
            </w:tcBorders>
            <w:vAlign w:val="center"/>
          </w:tcPr>
          <w:p w14:paraId="150A7107" w14:textId="77777777" w:rsidR="005E2FE7" w:rsidRPr="00150CB5" w:rsidRDefault="005E2FE7" w:rsidP="0087212A">
            <w:pPr>
              <w:jc w:val="center"/>
              <w:rPr>
                <w:rFonts w:ascii="Times New Roman" w:hAnsi="Times New Roman"/>
              </w:rPr>
            </w:pPr>
            <w:r w:rsidRPr="00150CB5">
              <w:rPr>
                <w:rFonts w:ascii="Times New Roman" w:hAnsi="Times New Roman"/>
              </w:rPr>
              <w:t>90</w:t>
            </w:r>
          </w:p>
        </w:tc>
        <w:tc>
          <w:tcPr>
            <w:tcW w:w="759" w:type="dxa"/>
            <w:tcBorders>
              <w:bottom w:val="single" w:sz="4" w:space="0" w:color="auto"/>
            </w:tcBorders>
            <w:vAlign w:val="center"/>
          </w:tcPr>
          <w:p w14:paraId="4C9ED915" w14:textId="77777777" w:rsidR="005E2FE7" w:rsidRPr="00150CB5" w:rsidRDefault="005E2FE7" w:rsidP="0087212A">
            <w:pPr>
              <w:jc w:val="center"/>
              <w:rPr>
                <w:rFonts w:ascii="Times New Roman" w:hAnsi="Times New Roman"/>
              </w:rPr>
            </w:pPr>
            <w:r w:rsidRPr="00150CB5">
              <w:rPr>
                <w:rFonts w:ascii="Times New Roman" w:hAnsi="Times New Roman"/>
              </w:rPr>
              <w:t>90</w:t>
            </w:r>
          </w:p>
        </w:tc>
      </w:tr>
    </w:tbl>
    <w:p w14:paraId="25E3CF33" w14:textId="77777777" w:rsidR="005053B8" w:rsidRDefault="004E78B0" w:rsidP="004E78B0">
      <w:pPr>
        <w:spacing w:before="120" w:after="120"/>
      </w:pPr>
      <w:r>
        <w:rPr>
          <w:b/>
        </w:rPr>
        <w:t xml:space="preserve">Table </w:t>
      </w:r>
      <w:r w:rsidR="001E14DE">
        <w:rPr>
          <w:b/>
        </w:rPr>
        <w:t>4</w:t>
      </w:r>
      <w:r w:rsidR="005053B8">
        <w:rPr>
          <w:b/>
        </w:rPr>
        <w:t xml:space="preserve">: </w:t>
      </w:r>
      <w:r w:rsidR="008405FA" w:rsidRPr="00D51BE9">
        <w:t>BP</w:t>
      </w:r>
      <w:r w:rsidR="008405FA">
        <w:t>s</w:t>
      </w:r>
      <w:r w:rsidR="008405FA" w:rsidRPr="00D51BE9">
        <w:t xml:space="preserve"> grouped in a core </w:t>
      </w:r>
      <w:r w:rsidR="008405FA">
        <w:t xml:space="preserve">that includes </w:t>
      </w:r>
      <w:r w:rsidR="008405FA" w:rsidRPr="00D51BE9">
        <w:t xml:space="preserve">separate meta-SPC </w:t>
      </w:r>
      <w:r w:rsidR="008405FA">
        <w:t>to cover concentrates and RTU products</w:t>
      </w:r>
    </w:p>
    <w:p w14:paraId="2F909558" w14:textId="77777777" w:rsidR="009F614B" w:rsidRDefault="009F614B" w:rsidP="004E78B0">
      <w:pPr>
        <w:spacing w:before="120" w:after="120"/>
        <w:rPr>
          <w:b/>
        </w:rPr>
      </w:pPr>
      <w:r w:rsidRPr="00845A73">
        <w:t xml:space="preserve">An example for the identification of the worst-case combination for such a core can be found in </w:t>
      </w:r>
      <w:r>
        <w:t>example 2.2</w:t>
      </w:r>
      <w:r w:rsidRPr="00845A73">
        <w:t>.</w:t>
      </w:r>
    </w:p>
    <w:p w14:paraId="58BE2530" w14:textId="77777777" w:rsidR="00131D78" w:rsidRDefault="00131D78">
      <w:pPr>
        <w:spacing w:after="0"/>
        <w:jc w:val="left"/>
        <w:rPr>
          <w:b/>
          <w:smallCaps/>
          <w:szCs w:val="24"/>
        </w:rPr>
      </w:pPr>
      <w:r>
        <w:rPr>
          <w:szCs w:val="24"/>
        </w:rPr>
        <w:br w:type="page"/>
      </w:r>
    </w:p>
    <w:p w14:paraId="11A58293" w14:textId="77777777" w:rsidR="005053B8" w:rsidRPr="005053B8" w:rsidRDefault="005053B8" w:rsidP="004E78B0">
      <w:pPr>
        <w:pStyle w:val="Heading1"/>
        <w:numPr>
          <w:ilvl w:val="0"/>
          <w:numId w:val="0"/>
        </w:numPr>
        <w:spacing w:before="120"/>
        <w:rPr>
          <w:szCs w:val="24"/>
        </w:rPr>
      </w:pPr>
      <w:r w:rsidRPr="005053B8">
        <w:rPr>
          <w:szCs w:val="24"/>
        </w:rPr>
        <w:lastRenderedPageBreak/>
        <w:t>Examples regarding identification of the worst-case compositions for the risk assessment</w:t>
      </w:r>
    </w:p>
    <w:p w14:paraId="158EF69B" w14:textId="77777777" w:rsidR="005053B8" w:rsidRPr="00845A73" w:rsidRDefault="005053B8" w:rsidP="005053B8">
      <w:pPr>
        <w:rPr>
          <w:b/>
        </w:rPr>
      </w:pPr>
      <w:bookmarkStart w:id="7" w:name="_Hlk1653138"/>
      <w:r w:rsidRPr="005053B8">
        <w:rPr>
          <w:b/>
          <w:u w:val="single"/>
        </w:rPr>
        <w:t>Example 2.1</w:t>
      </w:r>
      <w:r w:rsidRPr="005053B8">
        <w:rPr>
          <w:b/>
        </w:rPr>
        <w:t>:</w:t>
      </w:r>
      <w:r w:rsidRPr="00845A73">
        <w:rPr>
          <w:b/>
        </w:rPr>
        <w:t xml:space="preserve"> </w:t>
      </w:r>
      <w:bookmarkEnd w:id="7"/>
      <w:r w:rsidRPr="00845A73">
        <w:rPr>
          <w:b/>
        </w:rPr>
        <w:t>BPs that can be covered by one core assessment but due to different H&amp;P phrases cannot be presented in one meta-SPC:</w:t>
      </w:r>
    </w:p>
    <w:p w14:paraId="28974A70" w14:textId="77777777" w:rsidR="005053B8" w:rsidRPr="005053B8" w:rsidRDefault="005053B8" w:rsidP="00133C1C">
      <w:pPr>
        <w:pStyle w:val="ListParagraph"/>
        <w:widowControl/>
        <w:numPr>
          <w:ilvl w:val="0"/>
          <w:numId w:val="29"/>
        </w:numPr>
        <w:spacing w:before="0" w:after="0"/>
        <w:ind w:left="385"/>
        <w:rPr>
          <w:rFonts w:ascii="Times New Roman" w:hAnsi="Times New Roman"/>
          <w:sz w:val="24"/>
          <w:szCs w:val="24"/>
        </w:rPr>
      </w:pPr>
      <w:r w:rsidRPr="005053B8">
        <w:rPr>
          <w:rFonts w:ascii="Times New Roman" w:hAnsi="Times New Roman"/>
          <w:sz w:val="24"/>
          <w:szCs w:val="24"/>
        </w:rPr>
        <w:t>The information on ingredients and core composition is taken from example 1.1 above.</w:t>
      </w:r>
    </w:p>
    <w:p w14:paraId="4F0F7205" w14:textId="77777777" w:rsidR="005053B8" w:rsidRPr="005053B8" w:rsidRDefault="005053B8" w:rsidP="00133C1C">
      <w:pPr>
        <w:pStyle w:val="ListParagraph"/>
        <w:widowControl/>
        <w:numPr>
          <w:ilvl w:val="0"/>
          <w:numId w:val="29"/>
        </w:numPr>
        <w:spacing w:before="0" w:after="0"/>
        <w:ind w:left="385"/>
        <w:rPr>
          <w:rFonts w:ascii="Times New Roman" w:hAnsi="Times New Roman"/>
          <w:sz w:val="24"/>
          <w:szCs w:val="24"/>
        </w:rPr>
      </w:pPr>
      <w:r w:rsidRPr="005053B8">
        <w:rPr>
          <w:rFonts w:ascii="Times New Roman" w:hAnsi="Times New Roman"/>
          <w:sz w:val="24"/>
          <w:szCs w:val="24"/>
        </w:rPr>
        <w:t>For each ingredient a value for worst and best case must be chosen. This value might be different from area to area (here human health and environment).</w:t>
      </w:r>
    </w:p>
    <w:p w14:paraId="1E9600A9" w14:textId="77777777" w:rsidR="005053B8" w:rsidRPr="005053B8" w:rsidRDefault="005053B8" w:rsidP="00133C1C">
      <w:pPr>
        <w:pStyle w:val="ListParagraph"/>
        <w:widowControl/>
        <w:numPr>
          <w:ilvl w:val="0"/>
          <w:numId w:val="29"/>
        </w:numPr>
        <w:spacing w:before="0" w:after="0"/>
        <w:ind w:left="385"/>
        <w:rPr>
          <w:rFonts w:ascii="Times New Roman" w:hAnsi="Times New Roman"/>
          <w:sz w:val="24"/>
          <w:szCs w:val="24"/>
        </w:rPr>
      </w:pPr>
      <w:r w:rsidRPr="005053B8">
        <w:rPr>
          <w:rFonts w:ascii="Times New Roman" w:hAnsi="Times New Roman"/>
          <w:sz w:val="24"/>
          <w:szCs w:val="24"/>
        </w:rPr>
        <w:t>For each ingredient/value chosen a detailed justification must be provided in the PAR</w:t>
      </w:r>
      <w:bookmarkStart w:id="8" w:name="_Ref186757"/>
      <w:r w:rsidRPr="005053B8">
        <w:rPr>
          <w:rStyle w:val="FootnoteReference"/>
          <w:rFonts w:ascii="Times New Roman" w:hAnsi="Times New Roman"/>
          <w:sz w:val="24"/>
          <w:szCs w:val="24"/>
        </w:rPr>
        <w:footnoteReference w:id="40"/>
      </w:r>
      <w:bookmarkEnd w:id="8"/>
      <w:r>
        <w:rPr>
          <w:rFonts w:ascii="Times New Roman" w:hAnsi="Times New Roman"/>
          <w:sz w:val="24"/>
          <w:szCs w:val="24"/>
        </w:rPr>
        <w:t>.</w:t>
      </w:r>
      <w:r w:rsidRPr="005053B8">
        <w:rPr>
          <w:rFonts w:ascii="Times New Roman" w:hAnsi="Times New Roman"/>
          <w:sz w:val="24"/>
          <w:szCs w:val="24"/>
        </w:rPr>
        <w:t xml:space="preserve"> An example outcome of such a justification could be:</w:t>
      </w:r>
    </w:p>
    <w:p w14:paraId="7BA41ADF" w14:textId="77777777" w:rsidR="005053B8" w:rsidRPr="005053B8" w:rsidRDefault="005053B8" w:rsidP="00133C1C">
      <w:pPr>
        <w:pStyle w:val="ListParagraph"/>
        <w:widowControl/>
        <w:numPr>
          <w:ilvl w:val="1"/>
          <w:numId w:val="29"/>
        </w:numPr>
        <w:spacing w:before="0" w:after="0"/>
        <w:rPr>
          <w:rFonts w:ascii="Times New Roman" w:hAnsi="Times New Roman"/>
          <w:sz w:val="24"/>
          <w:szCs w:val="24"/>
        </w:rPr>
      </w:pPr>
      <w:r w:rsidRPr="005053B8">
        <w:rPr>
          <w:rFonts w:ascii="Times New Roman" w:hAnsi="Times New Roman"/>
          <w:sz w:val="24"/>
          <w:szCs w:val="24"/>
        </w:rPr>
        <w:t>Active substance: Toxicological relevant for both human health and environmental risk assessment. Min = best case. max = worst case.</w:t>
      </w:r>
    </w:p>
    <w:p w14:paraId="61A7E827" w14:textId="77777777" w:rsidR="005053B8" w:rsidRPr="005053B8" w:rsidRDefault="005053B8" w:rsidP="00133C1C">
      <w:pPr>
        <w:pStyle w:val="ListParagraph"/>
        <w:widowControl/>
        <w:numPr>
          <w:ilvl w:val="1"/>
          <w:numId w:val="29"/>
        </w:numPr>
        <w:spacing w:before="0" w:after="0"/>
        <w:rPr>
          <w:rFonts w:ascii="Times New Roman" w:hAnsi="Times New Roman"/>
          <w:sz w:val="24"/>
          <w:szCs w:val="24"/>
        </w:rPr>
      </w:pPr>
      <w:r w:rsidRPr="005053B8">
        <w:rPr>
          <w:rFonts w:ascii="Times New Roman" w:hAnsi="Times New Roman"/>
          <w:sz w:val="24"/>
          <w:szCs w:val="24"/>
        </w:rPr>
        <w:t>Solvent: In this example toxicologically not relevant.</w:t>
      </w:r>
    </w:p>
    <w:p w14:paraId="018205DA" w14:textId="77777777" w:rsidR="005053B8" w:rsidRPr="005053B8" w:rsidRDefault="005053B8" w:rsidP="00133C1C">
      <w:pPr>
        <w:pStyle w:val="ListParagraph"/>
        <w:widowControl/>
        <w:numPr>
          <w:ilvl w:val="1"/>
          <w:numId w:val="29"/>
        </w:numPr>
        <w:spacing w:before="0" w:after="0"/>
        <w:rPr>
          <w:rFonts w:ascii="Times New Roman" w:hAnsi="Times New Roman"/>
          <w:sz w:val="24"/>
          <w:szCs w:val="24"/>
        </w:rPr>
      </w:pPr>
      <w:r w:rsidRPr="005053B8">
        <w:rPr>
          <w:rFonts w:ascii="Times New Roman" w:hAnsi="Times New Roman"/>
          <w:sz w:val="24"/>
          <w:szCs w:val="24"/>
        </w:rPr>
        <w:t xml:space="preserve">“PPD incl. Soc1” and “PPD incl. Soc2”: Not the PPDs (different ones in meta 1 and meta 2) but only SoC1 and SoC2 are relevant for human health risk assessment. The properties of SoC1 and SoC2 are similar. Although the core composition includes 0-5 % “PPD incl. SoC1” and 0-5 % “PPD incl. SoC2” neither meta 1 nor meta 2 can include products without SoC 1 or 2 (see Table </w:t>
      </w:r>
      <w:r w:rsidR="008405FA">
        <w:rPr>
          <w:rFonts w:ascii="Times New Roman" w:hAnsi="Times New Roman"/>
          <w:sz w:val="24"/>
          <w:szCs w:val="24"/>
        </w:rPr>
        <w:t>5</w:t>
      </w:r>
      <w:r w:rsidRPr="005053B8">
        <w:rPr>
          <w:rFonts w:ascii="Times New Roman" w:hAnsi="Times New Roman"/>
          <w:sz w:val="24"/>
          <w:szCs w:val="24"/>
        </w:rPr>
        <w:t xml:space="preserve"> below). Accordingly, it is justified to choose 2.5 % as best case and 5 % as worst case.</w:t>
      </w:r>
    </w:p>
    <w:p w14:paraId="74271BF6" w14:textId="77777777" w:rsidR="005053B8" w:rsidRPr="005053B8" w:rsidRDefault="005053B8" w:rsidP="00133C1C">
      <w:pPr>
        <w:pStyle w:val="ListParagraph"/>
        <w:widowControl/>
        <w:numPr>
          <w:ilvl w:val="0"/>
          <w:numId w:val="29"/>
        </w:numPr>
        <w:spacing w:before="0" w:after="0"/>
        <w:rPr>
          <w:rFonts w:ascii="Times New Roman" w:hAnsi="Times New Roman"/>
        </w:rPr>
      </w:pPr>
      <w:r w:rsidRPr="005053B8">
        <w:rPr>
          <w:rFonts w:ascii="Times New Roman" w:hAnsi="Times New Roman"/>
          <w:sz w:val="24"/>
          <w:szCs w:val="24"/>
        </w:rPr>
        <w:t>In this case the core composition also represents the overall Level 1 family composition range.</w:t>
      </w:r>
    </w:p>
    <w:tbl>
      <w:tblPr>
        <w:tblStyle w:val="TableGrid"/>
        <w:tblW w:w="0" w:type="auto"/>
        <w:tblLook w:val="04A0" w:firstRow="1" w:lastRow="0" w:firstColumn="1" w:lastColumn="0" w:noHBand="0" w:noVBand="1"/>
      </w:tblPr>
      <w:tblGrid>
        <w:gridCol w:w="1157"/>
        <w:gridCol w:w="1210"/>
        <w:gridCol w:w="594"/>
        <w:gridCol w:w="606"/>
        <w:gridCol w:w="541"/>
        <w:gridCol w:w="573"/>
        <w:gridCol w:w="541"/>
        <w:gridCol w:w="573"/>
        <w:gridCol w:w="658"/>
        <w:gridCol w:w="757"/>
        <w:gridCol w:w="654"/>
        <w:gridCol w:w="744"/>
      </w:tblGrid>
      <w:tr w:rsidR="005053B8" w:rsidRPr="005053B8" w14:paraId="5EA15DB5" w14:textId="77777777" w:rsidTr="00CC0BE6">
        <w:trPr>
          <w:trHeight w:val="311"/>
        </w:trPr>
        <w:tc>
          <w:tcPr>
            <w:tcW w:w="1157" w:type="dxa"/>
            <w:vMerge w:val="restart"/>
            <w:vAlign w:val="center"/>
          </w:tcPr>
          <w:p w14:paraId="1B68AD2C"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Ingredients</w:t>
            </w:r>
          </w:p>
        </w:tc>
        <w:tc>
          <w:tcPr>
            <w:tcW w:w="1210" w:type="dxa"/>
            <w:vMerge w:val="restart"/>
            <w:vAlign w:val="center"/>
          </w:tcPr>
          <w:p w14:paraId="19C8394B"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Justification</w:t>
            </w:r>
          </w:p>
        </w:tc>
        <w:tc>
          <w:tcPr>
            <w:tcW w:w="1200" w:type="dxa"/>
            <w:gridSpan w:val="2"/>
            <w:vMerge w:val="restart"/>
            <w:shd w:val="clear" w:color="auto" w:fill="FFC000"/>
            <w:vAlign w:val="center"/>
          </w:tcPr>
          <w:p w14:paraId="314AB096"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Core</w:t>
            </w:r>
          </w:p>
          <w:p w14:paraId="19654921"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composition</w:t>
            </w:r>
          </w:p>
        </w:tc>
        <w:tc>
          <w:tcPr>
            <w:tcW w:w="1114" w:type="dxa"/>
            <w:gridSpan w:val="2"/>
            <w:shd w:val="clear" w:color="auto" w:fill="538135" w:themeFill="accent6" w:themeFillShade="BF"/>
            <w:vAlign w:val="center"/>
          </w:tcPr>
          <w:p w14:paraId="5DB33A46"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Meta 1</w:t>
            </w:r>
          </w:p>
        </w:tc>
        <w:tc>
          <w:tcPr>
            <w:tcW w:w="1114" w:type="dxa"/>
            <w:gridSpan w:val="2"/>
            <w:shd w:val="clear" w:color="auto" w:fill="538135" w:themeFill="accent6" w:themeFillShade="BF"/>
            <w:vAlign w:val="center"/>
          </w:tcPr>
          <w:p w14:paraId="3FCF6D9D"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Meta 2</w:t>
            </w:r>
          </w:p>
        </w:tc>
        <w:tc>
          <w:tcPr>
            <w:tcW w:w="1415" w:type="dxa"/>
            <w:gridSpan w:val="2"/>
            <w:vMerge w:val="restart"/>
            <w:shd w:val="clear" w:color="auto" w:fill="FFC000"/>
          </w:tcPr>
          <w:p w14:paraId="13AD063E"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Human/animal health risk assessment</w:t>
            </w:r>
          </w:p>
        </w:tc>
        <w:tc>
          <w:tcPr>
            <w:tcW w:w="1398" w:type="dxa"/>
            <w:gridSpan w:val="2"/>
            <w:vMerge w:val="restart"/>
            <w:shd w:val="clear" w:color="auto" w:fill="FFC000"/>
          </w:tcPr>
          <w:p w14:paraId="6FD522B5"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Environmental risk assessment</w:t>
            </w:r>
          </w:p>
        </w:tc>
      </w:tr>
      <w:tr w:rsidR="00CC0BE6" w:rsidRPr="005053B8" w14:paraId="07C9A563" w14:textId="77777777" w:rsidTr="00CC0BE6">
        <w:trPr>
          <w:trHeight w:val="311"/>
        </w:trPr>
        <w:tc>
          <w:tcPr>
            <w:tcW w:w="1157" w:type="dxa"/>
            <w:vMerge/>
            <w:vAlign w:val="center"/>
          </w:tcPr>
          <w:p w14:paraId="6F94CE94" w14:textId="77777777" w:rsidR="00CC0BE6" w:rsidRPr="005053B8" w:rsidRDefault="00CC0BE6" w:rsidP="0087212A">
            <w:pPr>
              <w:jc w:val="center"/>
              <w:rPr>
                <w:rFonts w:ascii="Times New Roman" w:hAnsi="Times New Roman"/>
                <w:b/>
                <w:sz w:val="18"/>
                <w:szCs w:val="18"/>
              </w:rPr>
            </w:pPr>
          </w:p>
        </w:tc>
        <w:tc>
          <w:tcPr>
            <w:tcW w:w="1210" w:type="dxa"/>
            <w:vMerge/>
            <w:vAlign w:val="center"/>
          </w:tcPr>
          <w:p w14:paraId="3AC5FE33" w14:textId="77777777" w:rsidR="00CC0BE6" w:rsidRPr="005053B8" w:rsidRDefault="00CC0BE6" w:rsidP="0087212A">
            <w:pPr>
              <w:jc w:val="center"/>
              <w:rPr>
                <w:rFonts w:ascii="Times New Roman" w:hAnsi="Times New Roman"/>
                <w:b/>
                <w:sz w:val="18"/>
                <w:szCs w:val="18"/>
              </w:rPr>
            </w:pPr>
          </w:p>
        </w:tc>
        <w:tc>
          <w:tcPr>
            <w:tcW w:w="1200" w:type="dxa"/>
            <w:gridSpan w:val="2"/>
            <w:vMerge/>
            <w:shd w:val="clear" w:color="auto" w:fill="FFC000"/>
            <w:vAlign w:val="center"/>
          </w:tcPr>
          <w:p w14:paraId="58B5BCDF" w14:textId="77777777" w:rsidR="00CC0BE6" w:rsidRPr="005053B8" w:rsidRDefault="00CC0BE6" w:rsidP="0087212A">
            <w:pPr>
              <w:jc w:val="center"/>
              <w:rPr>
                <w:rFonts w:ascii="Times New Roman" w:hAnsi="Times New Roman"/>
                <w:b/>
                <w:sz w:val="18"/>
                <w:szCs w:val="18"/>
              </w:rPr>
            </w:pPr>
          </w:p>
        </w:tc>
        <w:tc>
          <w:tcPr>
            <w:tcW w:w="2228" w:type="dxa"/>
            <w:gridSpan w:val="4"/>
            <w:shd w:val="clear" w:color="auto" w:fill="538135" w:themeFill="accent6" w:themeFillShade="BF"/>
            <w:vAlign w:val="center"/>
          </w:tcPr>
          <w:p w14:paraId="4F1BA8C1" w14:textId="77777777" w:rsidR="00CC0BE6" w:rsidRPr="005053B8" w:rsidRDefault="00CC0BE6" w:rsidP="0087212A">
            <w:pPr>
              <w:jc w:val="center"/>
              <w:rPr>
                <w:rFonts w:ascii="Times New Roman" w:hAnsi="Times New Roman"/>
                <w:sz w:val="18"/>
                <w:szCs w:val="18"/>
              </w:rPr>
            </w:pPr>
            <w:r w:rsidRPr="005053B8">
              <w:rPr>
                <w:rFonts w:ascii="Times New Roman" w:hAnsi="Times New Roman"/>
                <w:b/>
                <w:sz w:val="18"/>
                <w:szCs w:val="18"/>
              </w:rPr>
              <w:t>Reason for creation of add. meta:</w:t>
            </w:r>
          </w:p>
          <w:p w14:paraId="7325C39C" w14:textId="77777777" w:rsidR="00CC0BE6" w:rsidRPr="005053B8" w:rsidRDefault="00CC0BE6" w:rsidP="0087212A">
            <w:pPr>
              <w:jc w:val="center"/>
              <w:rPr>
                <w:rFonts w:ascii="Times New Roman" w:hAnsi="Times New Roman"/>
                <w:sz w:val="18"/>
                <w:szCs w:val="18"/>
              </w:rPr>
            </w:pPr>
            <w:r w:rsidRPr="005053B8">
              <w:rPr>
                <w:rFonts w:ascii="Times New Roman" w:hAnsi="Times New Roman"/>
                <w:sz w:val="18"/>
                <w:szCs w:val="18"/>
              </w:rPr>
              <w:t>CLP different to meta 1 (incl. SoC2 instead of SoC1)</w:t>
            </w:r>
          </w:p>
        </w:tc>
        <w:tc>
          <w:tcPr>
            <w:tcW w:w="1415" w:type="dxa"/>
            <w:gridSpan w:val="2"/>
            <w:vMerge/>
            <w:shd w:val="clear" w:color="auto" w:fill="FFC000"/>
          </w:tcPr>
          <w:p w14:paraId="0ACE2D2A" w14:textId="77777777" w:rsidR="00CC0BE6" w:rsidRPr="005053B8" w:rsidRDefault="00CC0BE6" w:rsidP="0087212A">
            <w:pPr>
              <w:jc w:val="center"/>
              <w:rPr>
                <w:rFonts w:ascii="Times New Roman" w:hAnsi="Times New Roman"/>
                <w:b/>
                <w:sz w:val="18"/>
                <w:szCs w:val="18"/>
              </w:rPr>
            </w:pPr>
          </w:p>
        </w:tc>
        <w:tc>
          <w:tcPr>
            <w:tcW w:w="1398" w:type="dxa"/>
            <w:gridSpan w:val="2"/>
            <w:vMerge/>
            <w:shd w:val="clear" w:color="auto" w:fill="FFC000"/>
          </w:tcPr>
          <w:p w14:paraId="22A7508B" w14:textId="77777777" w:rsidR="00CC0BE6" w:rsidRPr="005053B8" w:rsidRDefault="00CC0BE6" w:rsidP="0087212A">
            <w:pPr>
              <w:jc w:val="center"/>
              <w:rPr>
                <w:rFonts w:ascii="Times New Roman" w:hAnsi="Times New Roman"/>
                <w:b/>
                <w:sz w:val="18"/>
                <w:szCs w:val="18"/>
              </w:rPr>
            </w:pPr>
          </w:p>
        </w:tc>
      </w:tr>
      <w:tr w:rsidR="005053B8" w:rsidRPr="005053B8" w14:paraId="153EB7B5" w14:textId="77777777" w:rsidTr="00CC0BE6">
        <w:tc>
          <w:tcPr>
            <w:tcW w:w="1157" w:type="dxa"/>
            <w:vMerge/>
            <w:vAlign w:val="center"/>
          </w:tcPr>
          <w:p w14:paraId="5DDA85FA" w14:textId="77777777" w:rsidR="005053B8" w:rsidRPr="005053B8" w:rsidRDefault="005053B8" w:rsidP="0087212A">
            <w:pPr>
              <w:jc w:val="center"/>
              <w:rPr>
                <w:rFonts w:ascii="Times New Roman" w:hAnsi="Times New Roman"/>
                <w:sz w:val="18"/>
                <w:szCs w:val="18"/>
              </w:rPr>
            </w:pPr>
          </w:p>
        </w:tc>
        <w:tc>
          <w:tcPr>
            <w:tcW w:w="1210" w:type="dxa"/>
            <w:vMerge/>
            <w:tcBorders>
              <w:bottom w:val="single" w:sz="4" w:space="0" w:color="auto"/>
            </w:tcBorders>
            <w:vAlign w:val="center"/>
          </w:tcPr>
          <w:p w14:paraId="2352BECF" w14:textId="77777777" w:rsidR="005053B8" w:rsidRPr="005053B8" w:rsidRDefault="005053B8" w:rsidP="0087212A">
            <w:pPr>
              <w:jc w:val="center"/>
              <w:rPr>
                <w:rFonts w:ascii="Times New Roman" w:hAnsi="Times New Roman"/>
                <w:sz w:val="18"/>
                <w:szCs w:val="18"/>
              </w:rPr>
            </w:pPr>
          </w:p>
        </w:tc>
        <w:tc>
          <w:tcPr>
            <w:tcW w:w="594" w:type="dxa"/>
            <w:tcBorders>
              <w:bottom w:val="single" w:sz="4" w:space="0" w:color="auto"/>
            </w:tcBorders>
            <w:shd w:val="clear" w:color="auto" w:fill="FFC000"/>
            <w:vAlign w:val="center"/>
          </w:tcPr>
          <w:p w14:paraId="386ECFC2"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Min</w:t>
            </w:r>
          </w:p>
        </w:tc>
        <w:tc>
          <w:tcPr>
            <w:tcW w:w="606" w:type="dxa"/>
            <w:tcBorders>
              <w:bottom w:val="single" w:sz="4" w:space="0" w:color="auto"/>
            </w:tcBorders>
            <w:shd w:val="clear" w:color="auto" w:fill="FFC000"/>
            <w:vAlign w:val="center"/>
          </w:tcPr>
          <w:p w14:paraId="0E252709"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Max</w:t>
            </w:r>
          </w:p>
        </w:tc>
        <w:tc>
          <w:tcPr>
            <w:tcW w:w="541" w:type="dxa"/>
            <w:shd w:val="clear" w:color="auto" w:fill="538135" w:themeFill="accent6" w:themeFillShade="BF"/>
            <w:vAlign w:val="center"/>
          </w:tcPr>
          <w:p w14:paraId="42574AC7"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Min</w:t>
            </w:r>
          </w:p>
        </w:tc>
        <w:tc>
          <w:tcPr>
            <w:tcW w:w="573" w:type="dxa"/>
            <w:shd w:val="clear" w:color="auto" w:fill="538135" w:themeFill="accent6" w:themeFillShade="BF"/>
            <w:vAlign w:val="center"/>
          </w:tcPr>
          <w:p w14:paraId="29DC8B36"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Max</w:t>
            </w:r>
          </w:p>
        </w:tc>
        <w:tc>
          <w:tcPr>
            <w:tcW w:w="541" w:type="dxa"/>
            <w:shd w:val="clear" w:color="auto" w:fill="538135" w:themeFill="accent6" w:themeFillShade="BF"/>
            <w:vAlign w:val="center"/>
          </w:tcPr>
          <w:p w14:paraId="0CD56512"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Min</w:t>
            </w:r>
          </w:p>
        </w:tc>
        <w:tc>
          <w:tcPr>
            <w:tcW w:w="573" w:type="dxa"/>
            <w:shd w:val="clear" w:color="auto" w:fill="538135" w:themeFill="accent6" w:themeFillShade="BF"/>
            <w:vAlign w:val="center"/>
          </w:tcPr>
          <w:p w14:paraId="71931DD5"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Max</w:t>
            </w:r>
          </w:p>
        </w:tc>
        <w:tc>
          <w:tcPr>
            <w:tcW w:w="658" w:type="dxa"/>
            <w:shd w:val="clear" w:color="auto" w:fill="FFC000"/>
            <w:vAlign w:val="center"/>
          </w:tcPr>
          <w:p w14:paraId="33EC5A5B"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Best</w:t>
            </w:r>
          </w:p>
          <w:p w14:paraId="0D533725"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case</w:t>
            </w:r>
          </w:p>
        </w:tc>
        <w:tc>
          <w:tcPr>
            <w:tcW w:w="757" w:type="dxa"/>
            <w:shd w:val="clear" w:color="auto" w:fill="FFC000"/>
            <w:vAlign w:val="center"/>
          </w:tcPr>
          <w:p w14:paraId="4C773100"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Worst</w:t>
            </w:r>
          </w:p>
          <w:p w14:paraId="139FAD70"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case</w:t>
            </w:r>
          </w:p>
        </w:tc>
        <w:tc>
          <w:tcPr>
            <w:tcW w:w="654" w:type="dxa"/>
            <w:shd w:val="clear" w:color="auto" w:fill="FFC000"/>
            <w:vAlign w:val="center"/>
          </w:tcPr>
          <w:p w14:paraId="6FCD4C65"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Best</w:t>
            </w:r>
          </w:p>
          <w:p w14:paraId="31F8AD10"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case</w:t>
            </w:r>
          </w:p>
        </w:tc>
        <w:tc>
          <w:tcPr>
            <w:tcW w:w="744" w:type="dxa"/>
            <w:shd w:val="clear" w:color="auto" w:fill="FFC000"/>
            <w:vAlign w:val="center"/>
          </w:tcPr>
          <w:p w14:paraId="2C1407B8" w14:textId="77777777" w:rsidR="005053B8" w:rsidRPr="005053B8" w:rsidRDefault="005053B8" w:rsidP="0087212A">
            <w:pPr>
              <w:jc w:val="center"/>
              <w:rPr>
                <w:rFonts w:ascii="Times New Roman" w:hAnsi="Times New Roman"/>
                <w:b/>
                <w:sz w:val="18"/>
                <w:szCs w:val="18"/>
              </w:rPr>
            </w:pPr>
            <w:r w:rsidRPr="005053B8">
              <w:rPr>
                <w:rFonts w:ascii="Times New Roman" w:hAnsi="Times New Roman"/>
                <w:b/>
                <w:sz w:val="18"/>
                <w:szCs w:val="18"/>
              </w:rPr>
              <w:t>Worst</w:t>
            </w:r>
          </w:p>
          <w:p w14:paraId="1778ED92" w14:textId="77777777" w:rsidR="005053B8" w:rsidRPr="005053B8" w:rsidRDefault="005053B8" w:rsidP="0087212A">
            <w:pPr>
              <w:jc w:val="center"/>
              <w:rPr>
                <w:rFonts w:ascii="Times New Roman" w:hAnsi="Times New Roman"/>
                <w:sz w:val="18"/>
                <w:szCs w:val="18"/>
              </w:rPr>
            </w:pPr>
            <w:r w:rsidRPr="005053B8">
              <w:rPr>
                <w:rFonts w:ascii="Times New Roman" w:hAnsi="Times New Roman"/>
                <w:b/>
                <w:sz w:val="18"/>
                <w:szCs w:val="18"/>
              </w:rPr>
              <w:t>case</w:t>
            </w:r>
          </w:p>
        </w:tc>
      </w:tr>
      <w:tr w:rsidR="005053B8" w:rsidRPr="005053B8" w14:paraId="43E98B4E" w14:textId="77777777" w:rsidTr="00CC0BE6">
        <w:tc>
          <w:tcPr>
            <w:tcW w:w="1157" w:type="dxa"/>
          </w:tcPr>
          <w:p w14:paraId="221A610A" w14:textId="77777777" w:rsidR="005053B8" w:rsidRPr="005053B8" w:rsidRDefault="005053B8" w:rsidP="0087212A">
            <w:pPr>
              <w:jc w:val="center"/>
              <w:rPr>
                <w:rFonts w:ascii="Times New Roman" w:hAnsi="Times New Roman"/>
              </w:rPr>
            </w:pPr>
            <w:r w:rsidRPr="005053B8">
              <w:rPr>
                <w:rFonts w:ascii="Times New Roman" w:hAnsi="Times New Roman"/>
              </w:rPr>
              <w:t>Active substance</w:t>
            </w:r>
          </w:p>
        </w:tc>
        <w:tc>
          <w:tcPr>
            <w:tcW w:w="1210" w:type="dxa"/>
            <w:vAlign w:val="center"/>
          </w:tcPr>
          <w:p w14:paraId="69097EA4" w14:textId="77777777" w:rsidR="005053B8" w:rsidRPr="005053B8" w:rsidRDefault="005053B8" w:rsidP="0087212A">
            <w:pPr>
              <w:jc w:val="center"/>
              <w:rPr>
                <w:rFonts w:ascii="Times New Roman" w:hAnsi="Times New Roman"/>
              </w:rPr>
            </w:pPr>
            <w:r w:rsidRPr="005053B8">
              <w:rPr>
                <w:rFonts w:ascii="Times New Roman" w:hAnsi="Times New Roman"/>
              </w:rPr>
              <w:t>Always relevant</w:t>
            </w:r>
          </w:p>
        </w:tc>
        <w:tc>
          <w:tcPr>
            <w:tcW w:w="594" w:type="dxa"/>
            <w:vAlign w:val="center"/>
          </w:tcPr>
          <w:p w14:paraId="2C4C5AC2" w14:textId="77777777" w:rsidR="005053B8" w:rsidRPr="005053B8" w:rsidRDefault="005053B8" w:rsidP="0087212A">
            <w:pPr>
              <w:jc w:val="center"/>
              <w:rPr>
                <w:rFonts w:ascii="Times New Roman" w:hAnsi="Times New Roman"/>
              </w:rPr>
            </w:pPr>
            <w:r w:rsidRPr="005053B8">
              <w:rPr>
                <w:rFonts w:ascii="Times New Roman" w:hAnsi="Times New Roman"/>
              </w:rPr>
              <w:t>10</w:t>
            </w:r>
          </w:p>
        </w:tc>
        <w:tc>
          <w:tcPr>
            <w:tcW w:w="606" w:type="dxa"/>
            <w:vAlign w:val="center"/>
          </w:tcPr>
          <w:p w14:paraId="08427DA7" w14:textId="77777777" w:rsidR="005053B8" w:rsidRPr="005053B8" w:rsidRDefault="005053B8" w:rsidP="0087212A">
            <w:pPr>
              <w:jc w:val="center"/>
              <w:rPr>
                <w:rFonts w:ascii="Times New Roman" w:hAnsi="Times New Roman"/>
              </w:rPr>
            </w:pPr>
            <w:r w:rsidRPr="005053B8">
              <w:rPr>
                <w:rFonts w:ascii="Times New Roman" w:hAnsi="Times New Roman"/>
              </w:rPr>
              <w:t>20</w:t>
            </w:r>
          </w:p>
        </w:tc>
        <w:tc>
          <w:tcPr>
            <w:tcW w:w="541" w:type="dxa"/>
            <w:vAlign w:val="center"/>
          </w:tcPr>
          <w:p w14:paraId="79DB137B" w14:textId="77777777" w:rsidR="005053B8" w:rsidRPr="005053B8" w:rsidRDefault="005053B8" w:rsidP="0087212A">
            <w:pPr>
              <w:jc w:val="center"/>
              <w:rPr>
                <w:rFonts w:ascii="Times New Roman" w:hAnsi="Times New Roman"/>
              </w:rPr>
            </w:pPr>
            <w:r w:rsidRPr="005053B8">
              <w:rPr>
                <w:rFonts w:ascii="Times New Roman" w:hAnsi="Times New Roman"/>
              </w:rPr>
              <w:t>10</w:t>
            </w:r>
          </w:p>
        </w:tc>
        <w:tc>
          <w:tcPr>
            <w:tcW w:w="573" w:type="dxa"/>
            <w:vAlign w:val="center"/>
          </w:tcPr>
          <w:p w14:paraId="64874F24" w14:textId="77777777" w:rsidR="005053B8" w:rsidRPr="005053B8" w:rsidRDefault="005053B8" w:rsidP="0087212A">
            <w:pPr>
              <w:jc w:val="center"/>
              <w:rPr>
                <w:rFonts w:ascii="Times New Roman" w:hAnsi="Times New Roman"/>
              </w:rPr>
            </w:pPr>
            <w:r w:rsidRPr="005053B8">
              <w:rPr>
                <w:rFonts w:ascii="Times New Roman" w:hAnsi="Times New Roman"/>
              </w:rPr>
              <w:t>20</w:t>
            </w:r>
          </w:p>
        </w:tc>
        <w:tc>
          <w:tcPr>
            <w:tcW w:w="541" w:type="dxa"/>
            <w:vAlign w:val="center"/>
          </w:tcPr>
          <w:p w14:paraId="35F402DA" w14:textId="77777777" w:rsidR="005053B8" w:rsidRPr="005053B8" w:rsidRDefault="005053B8" w:rsidP="0087212A">
            <w:pPr>
              <w:jc w:val="center"/>
              <w:rPr>
                <w:rFonts w:ascii="Times New Roman" w:hAnsi="Times New Roman"/>
              </w:rPr>
            </w:pPr>
            <w:r w:rsidRPr="005053B8">
              <w:rPr>
                <w:rFonts w:ascii="Times New Roman" w:hAnsi="Times New Roman"/>
              </w:rPr>
              <w:t>10</w:t>
            </w:r>
          </w:p>
        </w:tc>
        <w:tc>
          <w:tcPr>
            <w:tcW w:w="573" w:type="dxa"/>
            <w:vAlign w:val="center"/>
          </w:tcPr>
          <w:p w14:paraId="6D1E38D0" w14:textId="77777777" w:rsidR="005053B8" w:rsidRPr="005053B8" w:rsidRDefault="005053B8" w:rsidP="0087212A">
            <w:pPr>
              <w:jc w:val="center"/>
              <w:rPr>
                <w:rFonts w:ascii="Times New Roman" w:hAnsi="Times New Roman"/>
              </w:rPr>
            </w:pPr>
            <w:r w:rsidRPr="005053B8">
              <w:rPr>
                <w:rFonts w:ascii="Times New Roman" w:hAnsi="Times New Roman"/>
              </w:rPr>
              <w:t>20</w:t>
            </w:r>
          </w:p>
        </w:tc>
        <w:tc>
          <w:tcPr>
            <w:tcW w:w="658" w:type="dxa"/>
            <w:vAlign w:val="center"/>
          </w:tcPr>
          <w:p w14:paraId="3B7678AD" w14:textId="77777777" w:rsidR="005053B8" w:rsidRPr="005053B8" w:rsidRDefault="005053B8" w:rsidP="0087212A">
            <w:pPr>
              <w:jc w:val="center"/>
              <w:rPr>
                <w:rFonts w:ascii="Times New Roman" w:hAnsi="Times New Roman"/>
              </w:rPr>
            </w:pPr>
            <w:r w:rsidRPr="005053B8">
              <w:rPr>
                <w:rFonts w:ascii="Times New Roman" w:hAnsi="Times New Roman"/>
              </w:rPr>
              <w:t>10</w:t>
            </w:r>
          </w:p>
        </w:tc>
        <w:tc>
          <w:tcPr>
            <w:tcW w:w="757" w:type="dxa"/>
            <w:vAlign w:val="center"/>
          </w:tcPr>
          <w:p w14:paraId="4B005B17" w14:textId="77777777" w:rsidR="005053B8" w:rsidRPr="005053B8" w:rsidRDefault="005053B8" w:rsidP="0087212A">
            <w:pPr>
              <w:jc w:val="center"/>
              <w:rPr>
                <w:rFonts w:ascii="Times New Roman" w:hAnsi="Times New Roman"/>
              </w:rPr>
            </w:pPr>
            <w:r w:rsidRPr="005053B8">
              <w:rPr>
                <w:rFonts w:ascii="Times New Roman" w:hAnsi="Times New Roman"/>
              </w:rPr>
              <w:t>20</w:t>
            </w:r>
          </w:p>
        </w:tc>
        <w:tc>
          <w:tcPr>
            <w:tcW w:w="654" w:type="dxa"/>
            <w:vAlign w:val="center"/>
          </w:tcPr>
          <w:p w14:paraId="67B35DD1" w14:textId="77777777" w:rsidR="005053B8" w:rsidRPr="005053B8" w:rsidRDefault="005053B8" w:rsidP="0087212A">
            <w:pPr>
              <w:jc w:val="center"/>
              <w:rPr>
                <w:rFonts w:ascii="Times New Roman" w:hAnsi="Times New Roman"/>
              </w:rPr>
            </w:pPr>
            <w:r w:rsidRPr="005053B8">
              <w:rPr>
                <w:rFonts w:ascii="Times New Roman" w:hAnsi="Times New Roman"/>
              </w:rPr>
              <w:t>10</w:t>
            </w:r>
          </w:p>
        </w:tc>
        <w:tc>
          <w:tcPr>
            <w:tcW w:w="744" w:type="dxa"/>
            <w:vAlign w:val="center"/>
          </w:tcPr>
          <w:p w14:paraId="6722FA4F" w14:textId="77777777" w:rsidR="005053B8" w:rsidRPr="005053B8" w:rsidRDefault="005053B8" w:rsidP="0087212A">
            <w:pPr>
              <w:jc w:val="center"/>
              <w:rPr>
                <w:rFonts w:ascii="Times New Roman" w:hAnsi="Times New Roman"/>
              </w:rPr>
            </w:pPr>
            <w:r w:rsidRPr="005053B8">
              <w:rPr>
                <w:rFonts w:ascii="Times New Roman" w:hAnsi="Times New Roman"/>
              </w:rPr>
              <w:t>20</w:t>
            </w:r>
          </w:p>
        </w:tc>
      </w:tr>
      <w:tr w:rsidR="005053B8" w:rsidRPr="005053B8" w14:paraId="06D9DB15" w14:textId="77777777" w:rsidTr="00CC0BE6">
        <w:tc>
          <w:tcPr>
            <w:tcW w:w="1157" w:type="dxa"/>
            <w:tcBorders>
              <w:bottom w:val="single" w:sz="4" w:space="0" w:color="auto"/>
            </w:tcBorders>
          </w:tcPr>
          <w:p w14:paraId="71920AAC" w14:textId="77777777" w:rsidR="005053B8" w:rsidRPr="005053B8" w:rsidRDefault="005053B8" w:rsidP="0087212A">
            <w:pPr>
              <w:jc w:val="center"/>
              <w:rPr>
                <w:rFonts w:ascii="Times New Roman" w:hAnsi="Times New Roman"/>
              </w:rPr>
            </w:pPr>
            <w:r w:rsidRPr="005053B8">
              <w:rPr>
                <w:rFonts w:ascii="Times New Roman" w:hAnsi="Times New Roman"/>
              </w:rPr>
              <w:t>Solvent</w:t>
            </w:r>
          </w:p>
        </w:tc>
        <w:tc>
          <w:tcPr>
            <w:tcW w:w="1210" w:type="dxa"/>
            <w:vAlign w:val="center"/>
          </w:tcPr>
          <w:p w14:paraId="0AB05270" w14:textId="77777777" w:rsidR="005053B8" w:rsidRPr="005053B8" w:rsidRDefault="005053B8" w:rsidP="0087212A">
            <w:pPr>
              <w:jc w:val="center"/>
              <w:rPr>
                <w:rFonts w:ascii="Times New Roman" w:hAnsi="Times New Roman"/>
              </w:rPr>
            </w:pPr>
            <w:r w:rsidRPr="005053B8">
              <w:rPr>
                <w:rFonts w:ascii="Times New Roman" w:hAnsi="Times New Roman"/>
              </w:rPr>
              <w:t>Not relevant</w:t>
            </w:r>
          </w:p>
        </w:tc>
        <w:tc>
          <w:tcPr>
            <w:tcW w:w="594" w:type="dxa"/>
            <w:vAlign w:val="center"/>
          </w:tcPr>
          <w:p w14:paraId="2957402C" w14:textId="77777777" w:rsidR="005053B8" w:rsidRPr="005053B8" w:rsidRDefault="005053B8" w:rsidP="0087212A">
            <w:pPr>
              <w:jc w:val="center"/>
              <w:rPr>
                <w:rFonts w:ascii="Times New Roman" w:hAnsi="Times New Roman"/>
              </w:rPr>
            </w:pPr>
            <w:r w:rsidRPr="005053B8">
              <w:rPr>
                <w:rFonts w:ascii="Times New Roman" w:hAnsi="Times New Roman"/>
              </w:rPr>
              <w:t>70</w:t>
            </w:r>
          </w:p>
        </w:tc>
        <w:tc>
          <w:tcPr>
            <w:tcW w:w="606" w:type="dxa"/>
            <w:vAlign w:val="center"/>
          </w:tcPr>
          <w:p w14:paraId="13459547" w14:textId="77777777" w:rsidR="005053B8" w:rsidRPr="005053B8" w:rsidRDefault="005053B8" w:rsidP="0087212A">
            <w:pPr>
              <w:jc w:val="center"/>
              <w:rPr>
                <w:rFonts w:ascii="Times New Roman" w:hAnsi="Times New Roman"/>
              </w:rPr>
            </w:pPr>
            <w:r w:rsidRPr="005053B8">
              <w:rPr>
                <w:rFonts w:ascii="Times New Roman" w:hAnsi="Times New Roman"/>
              </w:rPr>
              <w:t>85</w:t>
            </w:r>
          </w:p>
        </w:tc>
        <w:tc>
          <w:tcPr>
            <w:tcW w:w="541" w:type="dxa"/>
            <w:vAlign w:val="center"/>
          </w:tcPr>
          <w:p w14:paraId="6F7C8E98" w14:textId="77777777" w:rsidR="005053B8" w:rsidRPr="005053B8" w:rsidRDefault="005053B8" w:rsidP="0087212A">
            <w:pPr>
              <w:jc w:val="center"/>
              <w:rPr>
                <w:rFonts w:ascii="Times New Roman" w:hAnsi="Times New Roman"/>
              </w:rPr>
            </w:pPr>
            <w:r w:rsidRPr="005053B8">
              <w:rPr>
                <w:rFonts w:ascii="Times New Roman" w:hAnsi="Times New Roman"/>
              </w:rPr>
              <w:t>70</w:t>
            </w:r>
          </w:p>
        </w:tc>
        <w:tc>
          <w:tcPr>
            <w:tcW w:w="573" w:type="dxa"/>
            <w:vAlign w:val="center"/>
          </w:tcPr>
          <w:p w14:paraId="18775A34" w14:textId="77777777" w:rsidR="005053B8" w:rsidRPr="005053B8" w:rsidRDefault="005053B8" w:rsidP="0087212A">
            <w:pPr>
              <w:jc w:val="center"/>
              <w:rPr>
                <w:rFonts w:ascii="Times New Roman" w:hAnsi="Times New Roman"/>
              </w:rPr>
            </w:pPr>
            <w:r w:rsidRPr="005053B8">
              <w:rPr>
                <w:rFonts w:ascii="Times New Roman" w:hAnsi="Times New Roman"/>
              </w:rPr>
              <w:t>85</w:t>
            </w:r>
          </w:p>
        </w:tc>
        <w:tc>
          <w:tcPr>
            <w:tcW w:w="541" w:type="dxa"/>
            <w:vAlign w:val="center"/>
          </w:tcPr>
          <w:p w14:paraId="35CC2F78" w14:textId="77777777" w:rsidR="005053B8" w:rsidRPr="005053B8" w:rsidRDefault="005053B8" w:rsidP="0087212A">
            <w:pPr>
              <w:jc w:val="center"/>
              <w:rPr>
                <w:rFonts w:ascii="Times New Roman" w:hAnsi="Times New Roman"/>
              </w:rPr>
            </w:pPr>
            <w:r w:rsidRPr="005053B8">
              <w:rPr>
                <w:rFonts w:ascii="Times New Roman" w:hAnsi="Times New Roman"/>
              </w:rPr>
              <w:t>70</w:t>
            </w:r>
          </w:p>
        </w:tc>
        <w:tc>
          <w:tcPr>
            <w:tcW w:w="573" w:type="dxa"/>
            <w:vAlign w:val="center"/>
          </w:tcPr>
          <w:p w14:paraId="7545D95F" w14:textId="77777777" w:rsidR="005053B8" w:rsidRPr="005053B8" w:rsidRDefault="005053B8" w:rsidP="0087212A">
            <w:pPr>
              <w:jc w:val="center"/>
              <w:rPr>
                <w:rFonts w:ascii="Times New Roman" w:hAnsi="Times New Roman"/>
              </w:rPr>
            </w:pPr>
            <w:r w:rsidRPr="005053B8">
              <w:rPr>
                <w:rFonts w:ascii="Times New Roman" w:hAnsi="Times New Roman"/>
              </w:rPr>
              <w:t>85</w:t>
            </w:r>
          </w:p>
        </w:tc>
        <w:tc>
          <w:tcPr>
            <w:tcW w:w="2813" w:type="dxa"/>
            <w:gridSpan w:val="4"/>
            <w:vAlign w:val="center"/>
          </w:tcPr>
          <w:p w14:paraId="13B0F5FE" w14:textId="77777777" w:rsidR="005053B8" w:rsidRPr="005053B8" w:rsidRDefault="005053B8" w:rsidP="0087212A">
            <w:pPr>
              <w:jc w:val="center"/>
              <w:rPr>
                <w:rFonts w:ascii="Times New Roman" w:hAnsi="Times New Roman"/>
              </w:rPr>
            </w:pPr>
            <w:r w:rsidRPr="005053B8">
              <w:rPr>
                <w:rFonts w:ascii="Times New Roman" w:hAnsi="Times New Roman"/>
              </w:rPr>
              <w:t>Not relevant</w:t>
            </w:r>
          </w:p>
        </w:tc>
      </w:tr>
      <w:tr w:rsidR="005053B8" w:rsidRPr="005053B8" w14:paraId="02F922D5" w14:textId="77777777" w:rsidTr="00CC0BE6">
        <w:tc>
          <w:tcPr>
            <w:tcW w:w="1157" w:type="dxa"/>
          </w:tcPr>
          <w:p w14:paraId="6EB664E1" w14:textId="77777777" w:rsidR="005053B8" w:rsidRPr="005053B8" w:rsidRDefault="005053B8" w:rsidP="0087212A">
            <w:pPr>
              <w:jc w:val="center"/>
              <w:rPr>
                <w:rFonts w:ascii="Times New Roman" w:hAnsi="Times New Roman"/>
              </w:rPr>
            </w:pPr>
            <w:r w:rsidRPr="005053B8">
              <w:rPr>
                <w:rFonts w:ascii="Times New Roman" w:hAnsi="Times New Roman"/>
              </w:rPr>
              <w:t>PPD</w:t>
            </w:r>
          </w:p>
          <w:p w14:paraId="66490B0A" w14:textId="77777777" w:rsidR="005053B8" w:rsidRPr="005053B8" w:rsidRDefault="005053B8" w:rsidP="0087212A">
            <w:pPr>
              <w:jc w:val="center"/>
              <w:rPr>
                <w:rFonts w:ascii="Times New Roman" w:hAnsi="Times New Roman"/>
              </w:rPr>
            </w:pPr>
            <w:r w:rsidRPr="005053B8">
              <w:rPr>
                <w:rFonts w:ascii="Times New Roman" w:hAnsi="Times New Roman"/>
              </w:rPr>
              <w:t>incl. SoC1</w:t>
            </w:r>
          </w:p>
        </w:tc>
        <w:tc>
          <w:tcPr>
            <w:tcW w:w="1210" w:type="dxa"/>
            <w:vMerge w:val="restart"/>
            <w:vAlign w:val="center"/>
          </w:tcPr>
          <w:p w14:paraId="1B396FDA" w14:textId="77777777" w:rsidR="005053B8" w:rsidRPr="005053B8" w:rsidRDefault="005053B8" w:rsidP="0087212A">
            <w:pPr>
              <w:jc w:val="center"/>
              <w:rPr>
                <w:rFonts w:ascii="Times New Roman" w:hAnsi="Times New Roman"/>
              </w:rPr>
            </w:pPr>
            <w:r w:rsidRPr="005053B8">
              <w:rPr>
                <w:rFonts w:ascii="Times New Roman" w:hAnsi="Times New Roman"/>
              </w:rPr>
              <w:t>SoC1 and SoC2 = SoC for HH</w:t>
            </w:r>
          </w:p>
          <w:p w14:paraId="0584C348" w14:textId="77777777" w:rsidR="005053B8" w:rsidRPr="005053B8" w:rsidRDefault="005053B8" w:rsidP="0087212A">
            <w:pPr>
              <w:jc w:val="center"/>
              <w:rPr>
                <w:rFonts w:ascii="Times New Roman" w:hAnsi="Times New Roman"/>
              </w:rPr>
            </w:pPr>
            <w:r w:rsidRPr="005053B8">
              <w:rPr>
                <w:rFonts w:ascii="Times New Roman" w:hAnsi="Times New Roman"/>
              </w:rPr>
              <w:t>Cannot be in one meta but same effect on HH</w:t>
            </w:r>
          </w:p>
        </w:tc>
        <w:tc>
          <w:tcPr>
            <w:tcW w:w="594" w:type="dxa"/>
            <w:vAlign w:val="center"/>
          </w:tcPr>
          <w:p w14:paraId="514466C4" w14:textId="77777777" w:rsidR="005053B8" w:rsidRPr="005053B8" w:rsidRDefault="005053B8" w:rsidP="0087212A">
            <w:pPr>
              <w:jc w:val="center"/>
              <w:rPr>
                <w:rFonts w:ascii="Times New Roman" w:hAnsi="Times New Roman"/>
              </w:rPr>
            </w:pPr>
            <w:r w:rsidRPr="005053B8">
              <w:rPr>
                <w:rFonts w:ascii="Times New Roman" w:hAnsi="Times New Roman"/>
              </w:rPr>
              <w:t>0</w:t>
            </w:r>
          </w:p>
        </w:tc>
        <w:tc>
          <w:tcPr>
            <w:tcW w:w="606" w:type="dxa"/>
            <w:vAlign w:val="center"/>
          </w:tcPr>
          <w:p w14:paraId="48273D3A" w14:textId="77777777" w:rsidR="005053B8" w:rsidRPr="005053B8" w:rsidRDefault="005053B8" w:rsidP="0087212A">
            <w:pPr>
              <w:jc w:val="center"/>
              <w:rPr>
                <w:rFonts w:ascii="Times New Roman" w:hAnsi="Times New Roman"/>
              </w:rPr>
            </w:pPr>
            <w:r w:rsidRPr="005053B8">
              <w:rPr>
                <w:rFonts w:ascii="Times New Roman" w:hAnsi="Times New Roman"/>
              </w:rPr>
              <w:t>5</w:t>
            </w:r>
          </w:p>
        </w:tc>
        <w:tc>
          <w:tcPr>
            <w:tcW w:w="541" w:type="dxa"/>
            <w:vAlign w:val="center"/>
          </w:tcPr>
          <w:p w14:paraId="2464B39D" w14:textId="77777777" w:rsidR="005053B8" w:rsidRPr="005053B8" w:rsidRDefault="005053B8" w:rsidP="0087212A">
            <w:pPr>
              <w:jc w:val="center"/>
              <w:rPr>
                <w:rFonts w:ascii="Times New Roman" w:hAnsi="Times New Roman"/>
              </w:rPr>
            </w:pPr>
            <w:r w:rsidRPr="005053B8">
              <w:rPr>
                <w:rFonts w:ascii="Times New Roman" w:hAnsi="Times New Roman"/>
              </w:rPr>
              <w:t>2.5</w:t>
            </w:r>
          </w:p>
        </w:tc>
        <w:tc>
          <w:tcPr>
            <w:tcW w:w="573" w:type="dxa"/>
            <w:vAlign w:val="center"/>
          </w:tcPr>
          <w:p w14:paraId="464B43D5" w14:textId="77777777" w:rsidR="005053B8" w:rsidRPr="005053B8" w:rsidRDefault="005053B8" w:rsidP="0087212A">
            <w:pPr>
              <w:jc w:val="center"/>
              <w:rPr>
                <w:rFonts w:ascii="Times New Roman" w:hAnsi="Times New Roman"/>
              </w:rPr>
            </w:pPr>
            <w:r w:rsidRPr="005053B8">
              <w:rPr>
                <w:rFonts w:ascii="Times New Roman" w:hAnsi="Times New Roman"/>
              </w:rPr>
              <w:t>5</w:t>
            </w:r>
          </w:p>
        </w:tc>
        <w:tc>
          <w:tcPr>
            <w:tcW w:w="541" w:type="dxa"/>
            <w:vAlign w:val="center"/>
          </w:tcPr>
          <w:p w14:paraId="50762C40" w14:textId="77777777" w:rsidR="005053B8" w:rsidRPr="005053B8" w:rsidRDefault="005053B8" w:rsidP="0087212A">
            <w:pPr>
              <w:jc w:val="center"/>
              <w:rPr>
                <w:rFonts w:ascii="Times New Roman" w:hAnsi="Times New Roman"/>
              </w:rPr>
            </w:pPr>
            <w:r w:rsidRPr="005053B8">
              <w:rPr>
                <w:rFonts w:ascii="Times New Roman" w:hAnsi="Times New Roman"/>
              </w:rPr>
              <w:t>0</w:t>
            </w:r>
          </w:p>
        </w:tc>
        <w:tc>
          <w:tcPr>
            <w:tcW w:w="573" w:type="dxa"/>
            <w:vAlign w:val="center"/>
          </w:tcPr>
          <w:p w14:paraId="608C8657" w14:textId="77777777" w:rsidR="005053B8" w:rsidRPr="005053B8" w:rsidRDefault="005053B8" w:rsidP="0087212A">
            <w:pPr>
              <w:jc w:val="center"/>
              <w:rPr>
                <w:rFonts w:ascii="Times New Roman" w:hAnsi="Times New Roman"/>
              </w:rPr>
            </w:pPr>
            <w:r w:rsidRPr="005053B8">
              <w:rPr>
                <w:rFonts w:ascii="Times New Roman" w:hAnsi="Times New Roman"/>
              </w:rPr>
              <w:t>0</w:t>
            </w:r>
          </w:p>
        </w:tc>
        <w:tc>
          <w:tcPr>
            <w:tcW w:w="658" w:type="dxa"/>
            <w:vMerge w:val="restart"/>
            <w:vAlign w:val="center"/>
          </w:tcPr>
          <w:p w14:paraId="0A0A9173" w14:textId="77777777" w:rsidR="005053B8" w:rsidRPr="005053B8" w:rsidRDefault="005053B8" w:rsidP="0087212A">
            <w:pPr>
              <w:jc w:val="center"/>
              <w:rPr>
                <w:rFonts w:ascii="Times New Roman" w:hAnsi="Times New Roman"/>
              </w:rPr>
            </w:pPr>
            <w:r w:rsidRPr="005053B8">
              <w:rPr>
                <w:rFonts w:ascii="Times New Roman" w:hAnsi="Times New Roman"/>
              </w:rPr>
              <w:t>2.5</w:t>
            </w:r>
          </w:p>
        </w:tc>
        <w:tc>
          <w:tcPr>
            <w:tcW w:w="757" w:type="dxa"/>
            <w:vMerge w:val="restart"/>
            <w:vAlign w:val="center"/>
          </w:tcPr>
          <w:p w14:paraId="527A9416" w14:textId="77777777" w:rsidR="005053B8" w:rsidRPr="005053B8" w:rsidRDefault="005053B8" w:rsidP="0087212A">
            <w:pPr>
              <w:jc w:val="center"/>
              <w:rPr>
                <w:rFonts w:ascii="Times New Roman" w:hAnsi="Times New Roman"/>
              </w:rPr>
            </w:pPr>
            <w:r w:rsidRPr="005053B8">
              <w:rPr>
                <w:rFonts w:ascii="Times New Roman" w:hAnsi="Times New Roman"/>
              </w:rPr>
              <w:t>5</w:t>
            </w:r>
          </w:p>
        </w:tc>
        <w:tc>
          <w:tcPr>
            <w:tcW w:w="1398" w:type="dxa"/>
            <w:gridSpan w:val="2"/>
            <w:vMerge w:val="restart"/>
            <w:vAlign w:val="center"/>
          </w:tcPr>
          <w:p w14:paraId="438FE962" w14:textId="77777777" w:rsidR="005053B8" w:rsidRPr="005053B8" w:rsidRDefault="005053B8" w:rsidP="0087212A">
            <w:pPr>
              <w:jc w:val="center"/>
              <w:rPr>
                <w:rFonts w:ascii="Times New Roman" w:hAnsi="Times New Roman"/>
              </w:rPr>
            </w:pPr>
            <w:r w:rsidRPr="005053B8">
              <w:rPr>
                <w:rFonts w:ascii="Times New Roman" w:hAnsi="Times New Roman"/>
              </w:rPr>
              <w:t>Not relevant</w:t>
            </w:r>
          </w:p>
        </w:tc>
      </w:tr>
      <w:tr w:rsidR="005053B8" w:rsidRPr="005053B8" w14:paraId="33089C50" w14:textId="77777777" w:rsidTr="00CC0BE6">
        <w:tc>
          <w:tcPr>
            <w:tcW w:w="1157" w:type="dxa"/>
            <w:tcBorders>
              <w:bottom w:val="single" w:sz="4" w:space="0" w:color="auto"/>
            </w:tcBorders>
          </w:tcPr>
          <w:p w14:paraId="2AB9EAC5" w14:textId="77777777" w:rsidR="005053B8" w:rsidRPr="005053B8" w:rsidRDefault="005053B8" w:rsidP="0087212A">
            <w:pPr>
              <w:jc w:val="center"/>
              <w:rPr>
                <w:rFonts w:ascii="Times New Roman" w:hAnsi="Times New Roman"/>
              </w:rPr>
            </w:pPr>
            <w:r w:rsidRPr="005053B8">
              <w:rPr>
                <w:rFonts w:ascii="Times New Roman" w:hAnsi="Times New Roman"/>
              </w:rPr>
              <w:t>PPD</w:t>
            </w:r>
          </w:p>
          <w:p w14:paraId="3970538C" w14:textId="77777777" w:rsidR="005053B8" w:rsidRPr="005053B8" w:rsidRDefault="005053B8" w:rsidP="0087212A">
            <w:pPr>
              <w:jc w:val="center"/>
              <w:rPr>
                <w:rFonts w:ascii="Times New Roman" w:hAnsi="Times New Roman"/>
              </w:rPr>
            </w:pPr>
            <w:r w:rsidRPr="005053B8">
              <w:rPr>
                <w:rFonts w:ascii="Times New Roman" w:hAnsi="Times New Roman"/>
              </w:rPr>
              <w:t>incl. SoC2</w:t>
            </w:r>
          </w:p>
        </w:tc>
        <w:tc>
          <w:tcPr>
            <w:tcW w:w="1210" w:type="dxa"/>
            <w:vMerge/>
            <w:tcBorders>
              <w:bottom w:val="single" w:sz="4" w:space="0" w:color="auto"/>
            </w:tcBorders>
            <w:vAlign w:val="center"/>
          </w:tcPr>
          <w:p w14:paraId="2541F362" w14:textId="77777777" w:rsidR="005053B8" w:rsidRPr="005053B8" w:rsidRDefault="005053B8" w:rsidP="0087212A">
            <w:pPr>
              <w:jc w:val="center"/>
              <w:rPr>
                <w:rFonts w:ascii="Times New Roman" w:hAnsi="Times New Roman"/>
              </w:rPr>
            </w:pPr>
          </w:p>
        </w:tc>
        <w:tc>
          <w:tcPr>
            <w:tcW w:w="594" w:type="dxa"/>
            <w:tcBorders>
              <w:bottom w:val="single" w:sz="4" w:space="0" w:color="auto"/>
            </w:tcBorders>
            <w:vAlign w:val="center"/>
          </w:tcPr>
          <w:p w14:paraId="6E22C20D" w14:textId="77777777" w:rsidR="005053B8" w:rsidRPr="005053B8" w:rsidRDefault="005053B8" w:rsidP="0087212A">
            <w:pPr>
              <w:jc w:val="center"/>
              <w:rPr>
                <w:rFonts w:ascii="Times New Roman" w:hAnsi="Times New Roman"/>
              </w:rPr>
            </w:pPr>
            <w:r w:rsidRPr="005053B8">
              <w:rPr>
                <w:rFonts w:ascii="Times New Roman" w:hAnsi="Times New Roman"/>
              </w:rPr>
              <w:t>0</w:t>
            </w:r>
          </w:p>
        </w:tc>
        <w:tc>
          <w:tcPr>
            <w:tcW w:w="606" w:type="dxa"/>
            <w:tcBorders>
              <w:bottom w:val="single" w:sz="4" w:space="0" w:color="auto"/>
            </w:tcBorders>
            <w:vAlign w:val="center"/>
          </w:tcPr>
          <w:p w14:paraId="467B698E" w14:textId="77777777" w:rsidR="005053B8" w:rsidRPr="005053B8" w:rsidRDefault="005053B8" w:rsidP="0087212A">
            <w:pPr>
              <w:jc w:val="center"/>
              <w:rPr>
                <w:rFonts w:ascii="Times New Roman" w:hAnsi="Times New Roman"/>
              </w:rPr>
            </w:pPr>
            <w:r w:rsidRPr="005053B8">
              <w:rPr>
                <w:rFonts w:ascii="Times New Roman" w:hAnsi="Times New Roman"/>
              </w:rPr>
              <w:t>5</w:t>
            </w:r>
          </w:p>
        </w:tc>
        <w:tc>
          <w:tcPr>
            <w:tcW w:w="541" w:type="dxa"/>
            <w:tcBorders>
              <w:bottom w:val="single" w:sz="4" w:space="0" w:color="auto"/>
            </w:tcBorders>
            <w:vAlign w:val="center"/>
          </w:tcPr>
          <w:p w14:paraId="078D37BE" w14:textId="77777777" w:rsidR="005053B8" w:rsidRPr="005053B8" w:rsidRDefault="005053B8" w:rsidP="0087212A">
            <w:pPr>
              <w:jc w:val="center"/>
              <w:rPr>
                <w:rFonts w:ascii="Times New Roman" w:hAnsi="Times New Roman"/>
              </w:rPr>
            </w:pPr>
            <w:r w:rsidRPr="005053B8">
              <w:rPr>
                <w:rFonts w:ascii="Times New Roman" w:hAnsi="Times New Roman"/>
              </w:rPr>
              <w:t>0</w:t>
            </w:r>
          </w:p>
        </w:tc>
        <w:tc>
          <w:tcPr>
            <w:tcW w:w="573" w:type="dxa"/>
            <w:tcBorders>
              <w:bottom w:val="single" w:sz="4" w:space="0" w:color="auto"/>
            </w:tcBorders>
            <w:vAlign w:val="center"/>
          </w:tcPr>
          <w:p w14:paraId="4FA02E9E" w14:textId="77777777" w:rsidR="005053B8" w:rsidRPr="005053B8" w:rsidRDefault="005053B8" w:rsidP="0087212A">
            <w:pPr>
              <w:jc w:val="center"/>
              <w:rPr>
                <w:rFonts w:ascii="Times New Roman" w:hAnsi="Times New Roman"/>
              </w:rPr>
            </w:pPr>
            <w:r w:rsidRPr="005053B8">
              <w:rPr>
                <w:rFonts w:ascii="Times New Roman" w:hAnsi="Times New Roman"/>
              </w:rPr>
              <w:t>0</w:t>
            </w:r>
          </w:p>
        </w:tc>
        <w:tc>
          <w:tcPr>
            <w:tcW w:w="541" w:type="dxa"/>
            <w:tcBorders>
              <w:bottom w:val="single" w:sz="4" w:space="0" w:color="auto"/>
            </w:tcBorders>
            <w:vAlign w:val="center"/>
          </w:tcPr>
          <w:p w14:paraId="4F293EE3" w14:textId="77777777" w:rsidR="005053B8" w:rsidRPr="005053B8" w:rsidRDefault="005053B8" w:rsidP="0087212A">
            <w:pPr>
              <w:jc w:val="center"/>
              <w:rPr>
                <w:rFonts w:ascii="Times New Roman" w:hAnsi="Times New Roman"/>
              </w:rPr>
            </w:pPr>
            <w:r w:rsidRPr="005053B8">
              <w:rPr>
                <w:rFonts w:ascii="Times New Roman" w:hAnsi="Times New Roman"/>
              </w:rPr>
              <w:t>2.5</w:t>
            </w:r>
          </w:p>
        </w:tc>
        <w:tc>
          <w:tcPr>
            <w:tcW w:w="573" w:type="dxa"/>
            <w:tcBorders>
              <w:bottom w:val="single" w:sz="4" w:space="0" w:color="auto"/>
            </w:tcBorders>
            <w:vAlign w:val="center"/>
          </w:tcPr>
          <w:p w14:paraId="7C5E5BFC" w14:textId="77777777" w:rsidR="005053B8" w:rsidRPr="005053B8" w:rsidRDefault="005053B8" w:rsidP="0087212A">
            <w:pPr>
              <w:jc w:val="center"/>
              <w:rPr>
                <w:rFonts w:ascii="Times New Roman" w:hAnsi="Times New Roman"/>
              </w:rPr>
            </w:pPr>
            <w:r w:rsidRPr="005053B8">
              <w:rPr>
                <w:rFonts w:ascii="Times New Roman" w:hAnsi="Times New Roman"/>
              </w:rPr>
              <w:t>5</w:t>
            </w:r>
          </w:p>
        </w:tc>
        <w:tc>
          <w:tcPr>
            <w:tcW w:w="658" w:type="dxa"/>
            <w:vMerge/>
            <w:tcBorders>
              <w:bottom w:val="single" w:sz="4" w:space="0" w:color="auto"/>
            </w:tcBorders>
            <w:vAlign w:val="center"/>
          </w:tcPr>
          <w:p w14:paraId="4AFBC45D" w14:textId="77777777" w:rsidR="005053B8" w:rsidRPr="005053B8" w:rsidRDefault="005053B8" w:rsidP="0087212A">
            <w:pPr>
              <w:jc w:val="center"/>
              <w:rPr>
                <w:rFonts w:ascii="Times New Roman" w:hAnsi="Times New Roman"/>
              </w:rPr>
            </w:pPr>
          </w:p>
        </w:tc>
        <w:tc>
          <w:tcPr>
            <w:tcW w:w="757" w:type="dxa"/>
            <w:vMerge/>
            <w:tcBorders>
              <w:bottom w:val="single" w:sz="4" w:space="0" w:color="auto"/>
            </w:tcBorders>
            <w:vAlign w:val="center"/>
          </w:tcPr>
          <w:p w14:paraId="37A8FA54" w14:textId="77777777" w:rsidR="005053B8" w:rsidRPr="005053B8" w:rsidRDefault="005053B8" w:rsidP="0087212A">
            <w:pPr>
              <w:jc w:val="center"/>
              <w:rPr>
                <w:rFonts w:ascii="Times New Roman" w:hAnsi="Times New Roman"/>
              </w:rPr>
            </w:pPr>
          </w:p>
        </w:tc>
        <w:tc>
          <w:tcPr>
            <w:tcW w:w="1398" w:type="dxa"/>
            <w:gridSpan w:val="2"/>
            <w:vMerge/>
            <w:tcBorders>
              <w:bottom w:val="single" w:sz="4" w:space="0" w:color="auto"/>
            </w:tcBorders>
            <w:vAlign w:val="center"/>
          </w:tcPr>
          <w:p w14:paraId="68983A7C" w14:textId="77777777" w:rsidR="005053B8" w:rsidRPr="005053B8" w:rsidRDefault="005053B8" w:rsidP="0087212A">
            <w:pPr>
              <w:jc w:val="center"/>
              <w:rPr>
                <w:rFonts w:ascii="Times New Roman" w:hAnsi="Times New Roman"/>
              </w:rPr>
            </w:pPr>
          </w:p>
        </w:tc>
      </w:tr>
    </w:tbl>
    <w:p w14:paraId="6C6166CD" w14:textId="77777777" w:rsidR="005053B8" w:rsidRPr="008405FA" w:rsidRDefault="005053B8" w:rsidP="005053B8">
      <w:pPr>
        <w:spacing w:before="120"/>
        <w:jc w:val="left"/>
        <w:rPr>
          <w:szCs w:val="24"/>
        </w:rPr>
      </w:pPr>
      <w:r w:rsidRPr="005053B8">
        <w:rPr>
          <w:b/>
          <w:szCs w:val="24"/>
        </w:rPr>
        <w:t xml:space="preserve">Table </w:t>
      </w:r>
      <w:r w:rsidR="001E14DE">
        <w:rPr>
          <w:b/>
          <w:szCs w:val="24"/>
        </w:rPr>
        <w:t>5</w:t>
      </w:r>
      <w:r w:rsidRPr="005053B8">
        <w:rPr>
          <w:b/>
          <w:szCs w:val="24"/>
        </w:rPr>
        <w:t xml:space="preserve">: </w:t>
      </w:r>
      <w:r w:rsidR="008405FA" w:rsidRPr="008405FA">
        <w:rPr>
          <w:szCs w:val="24"/>
        </w:rPr>
        <w:t>example of a best/worst case scenario</w:t>
      </w:r>
      <w:r w:rsidR="005E62A8">
        <w:rPr>
          <w:szCs w:val="24"/>
        </w:rPr>
        <w:t xml:space="preserve"> when BPs have different H&amp;P statements</w:t>
      </w:r>
    </w:p>
    <w:p w14:paraId="6FB1BA16" w14:textId="77777777" w:rsidR="005053B8" w:rsidRPr="001E14DE" w:rsidRDefault="005053B8" w:rsidP="005053B8">
      <w:pPr>
        <w:jc w:val="left"/>
        <w:rPr>
          <w:b/>
          <w:szCs w:val="24"/>
          <w:u w:val="single"/>
        </w:rPr>
      </w:pPr>
      <w:r w:rsidRPr="001E14DE">
        <w:rPr>
          <w:b/>
          <w:szCs w:val="24"/>
          <w:u w:val="single"/>
        </w:rPr>
        <w:lastRenderedPageBreak/>
        <w:t>Example 2.2</w:t>
      </w:r>
      <w:r w:rsidRPr="001E14DE">
        <w:rPr>
          <w:b/>
          <w:szCs w:val="24"/>
        </w:rPr>
        <w:t xml:space="preserve"> Concentrate and corresponding RTU products in one BPF:</w:t>
      </w:r>
    </w:p>
    <w:p w14:paraId="103CC253" w14:textId="77777777" w:rsidR="005053B8" w:rsidRPr="005053B8" w:rsidRDefault="005053B8" w:rsidP="00133C1C">
      <w:pPr>
        <w:pStyle w:val="ListParagraph"/>
        <w:widowControl/>
        <w:numPr>
          <w:ilvl w:val="0"/>
          <w:numId w:val="30"/>
        </w:numPr>
        <w:spacing w:before="0" w:after="0"/>
        <w:rPr>
          <w:rFonts w:ascii="Times New Roman" w:hAnsi="Times New Roman"/>
          <w:sz w:val="24"/>
          <w:szCs w:val="24"/>
        </w:rPr>
      </w:pPr>
      <w:r w:rsidRPr="005053B8">
        <w:rPr>
          <w:rFonts w:ascii="Times New Roman" w:hAnsi="Times New Roman"/>
          <w:sz w:val="24"/>
          <w:szCs w:val="24"/>
        </w:rPr>
        <w:t>The information on ingredients and core composition is taken from example 1.2 above.</w:t>
      </w:r>
    </w:p>
    <w:p w14:paraId="05F7A606" w14:textId="77777777" w:rsidR="005053B8" w:rsidRPr="005053B8" w:rsidRDefault="005053B8" w:rsidP="00133C1C">
      <w:pPr>
        <w:pStyle w:val="ListParagraph"/>
        <w:widowControl/>
        <w:numPr>
          <w:ilvl w:val="0"/>
          <w:numId w:val="30"/>
        </w:numPr>
        <w:spacing w:before="0" w:after="0"/>
        <w:rPr>
          <w:rFonts w:ascii="Times New Roman" w:hAnsi="Times New Roman"/>
          <w:sz w:val="24"/>
          <w:szCs w:val="24"/>
        </w:rPr>
      </w:pPr>
      <w:r w:rsidRPr="005053B8">
        <w:rPr>
          <w:rFonts w:ascii="Times New Roman" w:hAnsi="Times New Roman"/>
          <w:sz w:val="24"/>
          <w:szCs w:val="24"/>
        </w:rPr>
        <w:t>For each ingredient a value for worst and best case must be chosen. This value might be different from area to area (here human health and environment).</w:t>
      </w:r>
    </w:p>
    <w:p w14:paraId="08A8ECAE" w14:textId="77777777" w:rsidR="005053B8" w:rsidRPr="005053B8" w:rsidRDefault="005053B8" w:rsidP="00133C1C">
      <w:pPr>
        <w:pStyle w:val="ListParagraph"/>
        <w:widowControl/>
        <w:numPr>
          <w:ilvl w:val="0"/>
          <w:numId w:val="30"/>
        </w:numPr>
        <w:spacing w:before="0" w:after="0"/>
        <w:rPr>
          <w:rFonts w:ascii="Times New Roman" w:hAnsi="Times New Roman"/>
          <w:sz w:val="24"/>
          <w:szCs w:val="24"/>
        </w:rPr>
      </w:pPr>
      <w:r w:rsidRPr="005053B8">
        <w:rPr>
          <w:rFonts w:ascii="Times New Roman" w:hAnsi="Times New Roman"/>
          <w:sz w:val="24"/>
          <w:szCs w:val="24"/>
        </w:rPr>
        <w:t xml:space="preserve">While the core assessment is normally based on one worst case composition only the dilution of the concentrate (mixing and loading step before application) makes it necessary to consider a „second“ worst case composition for the core assessment. This is the only scenario where MS consider more than one worst case composition as acceptable (see table </w:t>
      </w:r>
      <w:r w:rsidR="007A50C9">
        <w:rPr>
          <w:rFonts w:ascii="Times New Roman" w:hAnsi="Times New Roman"/>
          <w:sz w:val="24"/>
          <w:szCs w:val="24"/>
        </w:rPr>
        <w:t>6</w:t>
      </w:r>
      <w:r w:rsidRPr="005053B8">
        <w:rPr>
          <w:rFonts w:ascii="Times New Roman" w:hAnsi="Times New Roman"/>
          <w:sz w:val="24"/>
          <w:szCs w:val="24"/>
        </w:rPr>
        <w:t xml:space="preserve"> below).</w:t>
      </w:r>
    </w:p>
    <w:p w14:paraId="538C810A" w14:textId="6DAB6668" w:rsidR="005053B8" w:rsidRPr="005053B8" w:rsidRDefault="005053B8" w:rsidP="00133C1C">
      <w:pPr>
        <w:pStyle w:val="ListParagraph"/>
        <w:widowControl/>
        <w:numPr>
          <w:ilvl w:val="0"/>
          <w:numId w:val="30"/>
        </w:numPr>
        <w:spacing w:before="0" w:after="0"/>
        <w:rPr>
          <w:rFonts w:ascii="Times New Roman" w:hAnsi="Times New Roman"/>
          <w:sz w:val="24"/>
          <w:szCs w:val="24"/>
        </w:rPr>
      </w:pPr>
      <w:r w:rsidRPr="005053B8">
        <w:rPr>
          <w:rFonts w:ascii="Times New Roman" w:hAnsi="Times New Roman"/>
          <w:sz w:val="24"/>
          <w:szCs w:val="24"/>
        </w:rPr>
        <w:t>For each ingredient/value chosen a detailed justification</w:t>
      </w:r>
      <w:r w:rsidRPr="005053B8">
        <w:rPr>
          <w:rFonts w:ascii="Times New Roman" w:hAnsi="Times New Roman"/>
          <w:sz w:val="24"/>
          <w:szCs w:val="24"/>
          <w:vertAlign w:val="superscript"/>
        </w:rPr>
        <w:fldChar w:fldCharType="begin"/>
      </w:r>
      <w:r w:rsidRPr="005053B8">
        <w:rPr>
          <w:rFonts w:ascii="Times New Roman" w:hAnsi="Times New Roman"/>
          <w:sz w:val="24"/>
          <w:szCs w:val="24"/>
          <w:vertAlign w:val="superscript"/>
        </w:rPr>
        <w:instrText xml:space="preserve"> NOTEREF _Ref186757 \h  \* MERGEFORMAT </w:instrText>
      </w:r>
      <w:r w:rsidRPr="005053B8">
        <w:rPr>
          <w:rFonts w:ascii="Times New Roman" w:hAnsi="Times New Roman"/>
          <w:sz w:val="24"/>
          <w:szCs w:val="24"/>
          <w:vertAlign w:val="superscript"/>
        </w:rPr>
      </w:r>
      <w:r w:rsidRPr="005053B8">
        <w:rPr>
          <w:rFonts w:ascii="Times New Roman" w:hAnsi="Times New Roman"/>
          <w:sz w:val="24"/>
          <w:szCs w:val="24"/>
          <w:vertAlign w:val="superscript"/>
        </w:rPr>
        <w:fldChar w:fldCharType="separate"/>
      </w:r>
      <w:r w:rsidR="009168D8">
        <w:rPr>
          <w:rFonts w:ascii="Times New Roman" w:hAnsi="Times New Roman"/>
          <w:sz w:val="24"/>
          <w:szCs w:val="24"/>
          <w:vertAlign w:val="superscript"/>
        </w:rPr>
        <w:t>3</w:t>
      </w:r>
      <w:r w:rsidR="00865B8A">
        <w:rPr>
          <w:rFonts w:ascii="Times New Roman" w:hAnsi="Times New Roman"/>
          <w:sz w:val="24"/>
          <w:szCs w:val="24"/>
          <w:vertAlign w:val="superscript"/>
        </w:rPr>
        <w:t>7</w:t>
      </w:r>
      <w:r w:rsidRPr="005053B8">
        <w:rPr>
          <w:rFonts w:ascii="Times New Roman" w:hAnsi="Times New Roman"/>
          <w:sz w:val="24"/>
          <w:szCs w:val="24"/>
          <w:vertAlign w:val="superscript"/>
        </w:rPr>
        <w:fldChar w:fldCharType="end"/>
      </w:r>
      <w:r w:rsidRPr="005053B8">
        <w:rPr>
          <w:rFonts w:ascii="Times New Roman" w:hAnsi="Times New Roman"/>
          <w:sz w:val="24"/>
          <w:szCs w:val="24"/>
        </w:rPr>
        <w:t xml:space="preserve"> must be provided in the PAR. An example outcome of such a justification could be, </w:t>
      </w:r>
    </w:p>
    <w:p w14:paraId="503F2E74" w14:textId="77777777" w:rsidR="005053B8" w:rsidRPr="005053B8" w:rsidRDefault="005053B8" w:rsidP="00133C1C">
      <w:pPr>
        <w:pStyle w:val="ListParagraph"/>
        <w:widowControl/>
        <w:numPr>
          <w:ilvl w:val="1"/>
          <w:numId w:val="30"/>
        </w:numPr>
        <w:spacing w:before="0" w:after="0"/>
        <w:rPr>
          <w:rFonts w:ascii="Times New Roman" w:hAnsi="Times New Roman"/>
          <w:sz w:val="24"/>
          <w:szCs w:val="24"/>
        </w:rPr>
      </w:pPr>
      <w:r w:rsidRPr="005053B8">
        <w:rPr>
          <w:rFonts w:ascii="Times New Roman" w:hAnsi="Times New Roman"/>
          <w:sz w:val="24"/>
          <w:szCs w:val="24"/>
        </w:rPr>
        <w:t>Active substance: Toxicological relevant for both human health and environmental risk assessment. Min = best case. max = worst case.</w:t>
      </w:r>
    </w:p>
    <w:p w14:paraId="22E5FF78" w14:textId="77777777" w:rsidR="005053B8" w:rsidRPr="005053B8" w:rsidRDefault="005053B8" w:rsidP="00133C1C">
      <w:pPr>
        <w:pStyle w:val="ListParagraph"/>
        <w:widowControl/>
        <w:numPr>
          <w:ilvl w:val="1"/>
          <w:numId w:val="30"/>
        </w:numPr>
        <w:spacing w:before="0" w:after="0"/>
        <w:rPr>
          <w:rFonts w:ascii="Times New Roman" w:hAnsi="Times New Roman"/>
          <w:sz w:val="24"/>
          <w:szCs w:val="24"/>
        </w:rPr>
      </w:pPr>
      <w:r w:rsidRPr="005053B8">
        <w:rPr>
          <w:rFonts w:ascii="Times New Roman" w:hAnsi="Times New Roman"/>
          <w:sz w:val="24"/>
          <w:szCs w:val="24"/>
        </w:rPr>
        <w:t>Solvent: In this example toxicological relevant for environmental risk assessment. Min = best case. max = worst case.</w:t>
      </w:r>
    </w:p>
    <w:p w14:paraId="6C866493" w14:textId="77777777" w:rsidR="005053B8" w:rsidRPr="005053B8" w:rsidRDefault="005053B8" w:rsidP="00133C1C">
      <w:pPr>
        <w:pStyle w:val="ListParagraph"/>
        <w:widowControl/>
        <w:numPr>
          <w:ilvl w:val="1"/>
          <w:numId w:val="30"/>
        </w:numPr>
        <w:spacing w:before="0" w:after="0"/>
        <w:rPr>
          <w:rFonts w:ascii="Times New Roman" w:hAnsi="Times New Roman"/>
        </w:rPr>
      </w:pPr>
      <w:r w:rsidRPr="005053B8">
        <w:rPr>
          <w:rFonts w:ascii="Times New Roman" w:hAnsi="Times New Roman"/>
          <w:sz w:val="24"/>
          <w:szCs w:val="24"/>
        </w:rPr>
        <w:t>Solvent 2: In this example toxicologically not relevant.</w:t>
      </w:r>
    </w:p>
    <w:p w14:paraId="7ACD4E44" w14:textId="77777777" w:rsidR="005053B8" w:rsidRPr="005053B8" w:rsidRDefault="005053B8" w:rsidP="005053B8">
      <w:pPr>
        <w:rPr>
          <w:sz w:val="20"/>
        </w:rPr>
      </w:pPr>
    </w:p>
    <w:tbl>
      <w:tblPr>
        <w:tblStyle w:val="TableGrid"/>
        <w:tblW w:w="10201" w:type="dxa"/>
        <w:tblLayout w:type="fixed"/>
        <w:tblLook w:val="04A0" w:firstRow="1" w:lastRow="0" w:firstColumn="1" w:lastColumn="0" w:noHBand="0" w:noVBand="1"/>
      </w:tblPr>
      <w:tblGrid>
        <w:gridCol w:w="1271"/>
        <w:gridCol w:w="992"/>
        <w:gridCol w:w="529"/>
        <w:gridCol w:w="533"/>
        <w:gridCol w:w="494"/>
        <w:gridCol w:w="533"/>
        <w:gridCol w:w="888"/>
        <w:gridCol w:w="709"/>
        <w:gridCol w:w="709"/>
        <w:gridCol w:w="708"/>
        <w:gridCol w:w="709"/>
        <w:gridCol w:w="709"/>
        <w:gridCol w:w="709"/>
        <w:gridCol w:w="708"/>
      </w:tblGrid>
      <w:tr w:rsidR="005053B8" w:rsidRPr="005053B8" w14:paraId="7F224CDE" w14:textId="77777777" w:rsidTr="0087212A">
        <w:tc>
          <w:tcPr>
            <w:tcW w:w="1271" w:type="dxa"/>
            <w:vMerge w:val="restart"/>
            <w:vAlign w:val="center"/>
          </w:tcPr>
          <w:p w14:paraId="31407214" w14:textId="77777777" w:rsidR="005053B8" w:rsidRPr="005053B8" w:rsidRDefault="005053B8" w:rsidP="0087212A">
            <w:pPr>
              <w:jc w:val="center"/>
              <w:rPr>
                <w:rFonts w:ascii="Times New Roman" w:hAnsi="Times New Roman"/>
              </w:rPr>
            </w:pPr>
            <w:r w:rsidRPr="005053B8">
              <w:rPr>
                <w:rFonts w:ascii="Times New Roman" w:hAnsi="Times New Roman"/>
                <w:b/>
              </w:rPr>
              <w:t>Ingredients</w:t>
            </w:r>
          </w:p>
        </w:tc>
        <w:tc>
          <w:tcPr>
            <w:tcW w:w="992" w:type="dxa"/>
            <w:vMerge w:val="restart"/>
            <w:vAlign w:val="center"/>
          </w:tcPr>
          <w:p w14:paraId="106527FC" w14:textId="77777777" w:rsidR="005053B8" w:rsidRPr="005053B8" w:rsidRDefault="005053B8" w:rsidP="0087212A">
            <w:pPr>
              <w:jc w:val="center"/>
              <w:rPr>
                <w:rFonts w:ascii="Times New Roman" w:hAnsi="Times New Roman"/>
              </w:rPr>
            </w:pPr>
            <w:r w:rsidRPr="005053B8">
              <w:rPr>
                <w:rFonts w:ascii="Times New Roman" w:hAnsi="Times New Roman"/>
                <w:b/>
              </w:rPr>
              <w:t>Justification</w:t>
            </w:r>
          </w:p>
        </w:tc>
        <w:tc>
          <w:tcPr>
            <w:tcW w:w="2089" w:type="dxa"/>
            <w:gridSpan w:val="4"/>
            <w:shd w:val="clear" w:color="auto" w:fill="FFC000"/>
            <w:vAlign w:val="center"/>
          </w:tcPr>
          <w:p w14:paraId="13BBA34D" w14:textId="77777777" w:rsidR="005053B8" w:rsidRPr="005053B8" w:rsidRDefault="005053B8" w:rsidP="0087212A">
            <w:pPr>
              <w:jc w:val="center"/>
              <w:rPr>
                <w:rFonts w:ascii="Times New Roman" w:hAnsi="Times New Roman"/>
                <w:b/>
              </w:rPr>
            </w:pPr>
            <w:r w:rsidRPr="005053B8">
              <w:rPr>
                <w:rFonts w:ascii="Times New Roman" w:hAnsi="Times New Roman"/>
                <w:b/>
              </w:rPr>
              <w:t>Core</w:t>
            </w:r>
          </w:p>
          <w:p w14:paraId="20746FA8" w14:textId="77777777" w:rsidR="005053B8" w:rsidRPr="005053B8" w:rsidRDefault="005053B8" w:rsidP="0087212A">
            <w:pPr>
              <w:jc w:val="center"/>
              <w:rPr>
                <w:rFonts w:ascii="Times New Roman" w:hAnsi="Times New Roman"/>
                <w:b/>
              </w:rPr>
            </w:pPr>
            <w:r w:rsidRPr="005053B8">
              <w:rPr>
                <w:rFonts w:ascii="Times New Roman" w:hAnsi="Times New Roman"/>
                <w:b/>
              </w:rPr>
              <w:t>Composition</w:t>
            </w:r>
          </w:p>
        </w:tc>
        <w:tc>
          <w:tcPr>
            <w:tcW w:w="3014" w:type="dxa"/>
            <w:gridSpan w:val="4"/>
            <w:shd w:val="clear" w:color="auto" w:fill="FFC000"/>
          </w:tcPr>
          <w:p w14:paraId="2DEC39BA" w14:textId="77777777" w:rsidR="005053B8" w:rsidRPr="005053B8" w:rsidRDefault="005053B8" w:rsidP="0087212A">
            <w:pPr>
              <w:jc w:val="center"/>
              <w:rPr>
                <w:rFonts w:ascii="Times New Roman" w:hAnsi="Times New Roman"/>
                <w:b/>
              </w:rPr>
            </w:pPr>
            <w:r w:rsidRPr="005053B8">
              <w:rPr>
                <w:rFonts w:ascii="Times New Roman" w:hAnsi="Times New Roman"/>
                <w:b/>
              </w:rPr>
              <w:t>Human/animal health risk assessment</w:t>
            </w:r>
          </w:p>
        </w:tc>
        <w:tc>
          <w:tcPr>
            <w:tcW w:w="2835" w:type="dxa"/>
            <w:gridSpan w:val="4"/>
            <w:shd w:val="clear" w:color="auto" w:fill="FFC000"/>
          </w:tcPr>
          <w:p w14:paraId="5A6F692A" w14:textId="77777777" w:rsidR="005053B8" w:rsidRPr="005053B8" w:rsidRDefault="005053B8" w:rsidP="0087212A">
            <w:pPr>
              <w:jc w:val="center"/>
              <w:rPr>
                <w:rFonts w:ascii="Times New Roman" w:hAnsi="Times New Roman"/>
                <w:b/>
              </w:rPr>
            </w:pPr>
            <w:r w:rsidRPr="005053B8">
              <w:rPr>
                <w:rFonts w:ascii="Times New Roman" w:hAnsi="Times New Roman"/>
                <w:b/>
              </w:rPr>
              <w:t>Environmental risk assessment</w:t>
            </w:r>
          </w:p>
        </w:tc>
      </w:tr>
      <w:tr w:rsidR="005053B8" w:rsidRPr="005053B8" w14:paraId="58C8FF49" w14:textId="77777777" w:rsidTr="0087212A">
        <w:tc>
          <w:tcPr>
            <w:tcW w:w="1271" w:type="dxa"/>
            <w:vMerge/>
            <w:vAlign w:val="center"/>
          </w:tcPr>
          <w:p w14:paraId="61EBCDF8" w14:textId="77777777" w:rsidR="005053B8" w:rsidRPr="005053B8" w:rsidRDefault="005053B8" w:rsidP="0087212A">
            <w:pPr>
              <w:jc w:val="center"/>
              <w:rPr>
                <w:rFonts w:ascii="Times New Roman" w:hAnsi="Times New Roman"/>
              </w:rPr>
            </w:pPr>
          </w:p>
        </w:tc>
        <w:tc>
          <w:tcPr>
            <w:tcW w:w="992" w:type="dxa"/>
            <w:vMerge/>
            <w:vAlign w:val="center"/>
          </w:tcPr>
          <w:p w14:paraId="2E497D89" w14:textId="77777777" w:rsidR="005053B8" w:rsidRPr="005053B8" w:rsidRDefault="005053B8" w:rsidP="0087212A">
            <w:pPr>
              <w:jc w:val="center"/>
              <w:rPr>
                <w:rFonts w:ascii="Times New Roman" w:hAnsi="Times New Roman"/>
              </w:rPr>
            </w:pPr>
          </w:p>
        </w:tc>
        <w:tc>
          <w:tcPr>
            <w:tcW w:w="1062" w:type="dxa"/>
            <w:gridSpan w:val="2"/>
            <w:shd w:val="clear" w:color="auto" w:fill="FFC000"/>
            <w:vAlign w:val="center"/>
          </w:tcPr>
          <w:p w14:paraId="5461AD76" w14:textId="77777777" w:rsidR="005053B8" w:rsidRPr="005053B8" w:rsidRDefault="005053B8" w:rsidP="0087212A">
            <w:pPr>
              <w:jc w:val="center"/>
              <w:rPr>
                <w:rFonts w:ascii="Times New Roman" w:hAnsi="Times New Roman"/>
                <w:b/>
              </w:rPr>
            </w:pPr>
            <w:r w:rsidRPr="005053B8">
              <w:rPr>
                <w:rFonts w:ascii="Times New Roman" w:hAnsi="Times New Roman"/>
                <w:b/>
              </w:rPr>
              <w:t>Mixing &amp; loading</w:t>
            </w:r>
          </w:p>
        </w:tc>
        <w:tc>
          <w:tcPr>
            <w:tcW w:w="1027" w:type="dxa"/>
            <w:gridSpan w:val="2"/>
            <w:shd w:val="clear" w:color="auto" w:fill="FFC000"/>
            <w:vAlign w:val="center"/>
          </w:tcPr>
          <w:p w14:paraId="424866A7" w14:textId="77777777" w:rsidR="005053B8" w:rsidRPr="005053B8" w:rsidRDefault="005053B8" w:rsidP="0087212A">
            <w:pPr>
              <w:jc w:val="center"/>
              <w:rPr>
                <w:rFonts w:ascii="Times New Roman" w:hAnsi="Times New Roman"/>
                <w:b/>
              </w:rPr>
            </w:pPr>
            <w:r w:rsidRPr="005053B8">
              <w:rPr>
                <w:rFonts w:ascii="Times New Roman" w:hAnsi="Times New Roman"/>
                <w:b/>
              </w:rPr>
              <w:t>In use</w:t>
            </w:r>
          </w:p>
        </w:tc>
        <w:tc>
          <w:tcPr>
            <w:tcW w:w="1597" w:type="dxa"/>
            <w:gridSpan w:val="2"/>
            <w:shd w:val="clear" w:color="auto" w:fill="FFC000"/>
            <w:vAlign w:val="center"/>
          </w:tcPr>
          <w:p w14:paraId="6E96E5E3" w14:textId="77777777" w:rsidR="005053B8" w:rsidRPr="005053B8" w:rsidRDefault="005053B8" w:rsidP="0087212A">
            <w:pPr>
              <w:jc w:val="center"/>
              <w:rPr>
                <w:rFonts w:ascii="Times New Roman" w:hAnsi="Times New Roman"/>
                <w:b/>
              </w:rPr>
            </w:pPr>
            <w:r w:rsidRPr="005053B8">
              <w:rPr>
                <w:rFonts w:ascii="Times New Roman" w:hAnsi="Times New Roman"/>
                <w:b/>
              </w:rPr>
              <w:t>Mixing &amp; loading</w:t>
            </w:r>
          </w:p>
        </w:tc>
        <w:tc>
          <w:tcPr>
            <w:tcW w:w="1417" w:type="dxa"/>
            <w:gridSpan w:val="2"/>
            <w:shd w:val="clear" w:color="auto" w:fill="FFC000"/>
            <w:vAlign w:val="center"/>
          </w:tcPr>
          <w:p w14:paraId="2DFE31C6" w14:textId="77777777" w:rsidR="005053B8" w:rsidRPr="005053B8" w:rsidRDefault="005053B8" w:rsidP="0087212A">
            <w:pPr>
              <w:jc w:val="center"/>
              <w:rPr>
                <w:rFonts w:ascii="Times New Roman" w:hAnsi="Times New Roman"/>
              </w:rPr>
            </w:pPr>
            <w:r w:rsidRPr="005053B8">
              <w:rPr>
                <w:rFonts w:ascii="Times New Roman" w:hAnsi="Times New Roman"/>
                <w:b/>
              </w:rPr>
              <w:t>In use</w:t>
            </w:r>
          </w:p>
        </w:tc>
        <w:tc>
          <w:tcPr>
            <w:tcW w:w="1418" w:type="dxa"/>
            <w:gridSpan w:val="2"/>
            <w:shd w:val="clear" w:color="auto" w:fill="FFC000"/>
            <w:vAlign w:val="center"/>
          </w:tcPr>
          <w:p w14:paraId="0BC83999" w14:textId="77777777" w:rsidR="005053B8" w:rsidRPr="005053B8" w:rsidRDefault="005053B8" w:rsidP="0087212A">
            <w:pPr>
              <w:jc w:val="center"/>
              <w:rPr>
                <w:rFonts w:ascii="Times New Roman" w:hAnsi="Times New Roman"/>
              </w:rPr>
            </w:pPr>
            <w:r w:rsidRPr="005053B8">
              <w:rPr>
                <w:rFonts w:ascii="Times New Roman" w:hAnsi="Times New Roman"/>
                <w:b/>
              </w:rPr>
              <w:t>Mixing &amp; loading</w:t>
            </w:r>
          </w:p>
        </w:tc>
        <w:tc>
          <w:tcPr>
            <w:tcW w:w="1417" w:type="dxa"/>
            <w:gridSpan w:val="2"/>
            <w:shd w:val="clear" w:color="auto" w:fill="FFC000"/>
            <w:vAlign w:val="center"/>
          </w:tcPr>
          <w:p w14:paraId="1B564CB2" w14:textId="77777777" w:rsidR="005053B8" w:rsidRPr="005053B8" w:rsidRDefault="005053B8" w:rsidP="0087212A">
            <w:pPr>
              <w:jc w:val="center"/>
              <w:rPr>
                <w:rFonts w:ascii="Times New Roman" w:hAnsi="Times New Roman"/>
              </w:rPr>
            </w:pPr>
            <w:r w:rsidRPr="005053B8">
              <w:rPr>
                <w:rFonts w:ascii="Times New Roman" w:hAnsi="Times New Roman"/>
                <w:b/>
              </w:rPr>
              <w:t>In use</w:t>
            </w:r>
          </w:p>
        </w:tc>
      </w:tr>
      <w:tr w:rsidR="005053B8" w:rsidRPr="005053B8" w14:paraId="20153A40" w14:textId="77777777" w:rsidTr="0087212A">
        <w:trPr>
          <w:cantSplit/>
          <w:trHeight w:val="1134"/>
        </w:trPr>
        <w:tc>
          <w:tcPr>
            <w:tcW w:w="1271" w:type="dxa"/>
            <w:vMerge/>
            <w:vAlign w:val="center"/>
          </w:tcPr>
          <w:p w14:paraId="31F67D52" w14:textId="77777777" w:rsidR="005053B8" w:rsidRPr="005053B8" w:rsidRDefault="005053B8" w:rsidP="0087212A">
            <w:pPr>
              <w:jc w:val="center"/>
              <w:rPr>
                <w:rFonts w:ascii="Times New Roman" w:hAnsi="Times New Roman"/>
              </w:rPr>
            </w:pPr>
          </w:p>
        </w:tc>
        <w:tc>
          <w:tcPr>
            <w:tcW w:w="992" w:type="dxa"/>
            <w:vMerge/>
            <w:tcBorders>
              <w:bottom w:val="single" w:sz="4" w:space="0" w:color="auto"/>
            </w:tcBorders>
            <w:vAlign w:val="center"/>
          </w:tcPr>
          <w:p w14:paraId="5832788C" w14:textId="77777777" w:rsidR="005053B8" w:rsidRPr="005053B8" w:rsidRDefault="005053B8" w:rsidP="0087212A">
            <w:pPr>
              <w:jc w:val="center"/>
              <w:rPr>
                <w:rFonts w:ascii="Times New Roman" w:hAnsi="Times New Roman"/>
              </w:rPr>
            </w:pPr>
          </w:p>
        </w:tc>
        <w:tc>
          <w:tcPr>
            <w:tcW w:w="529" w:type="dxa"/>
            <w:tcBorders>
              <w:bottom w:val="single" w:sz="4" w:space="0" w:color="auto"/>
            </w:tcBorders>
            <w:shd w:val="clear" w:color="auto" w:fill="FFC000"/>
            <w:textDirection w:val="btLr"/>
            <w:vAlign w:val="center"/>
          </w:tcPr>
          <w:p w14:paraId="234770D2" w14:textId="77777777" w:rsidR="005053B8" w:rsidRPr="005053B8" w:rsidRDefault="005053B8" w:rsidP="0087212A">
            <w:pPr>
              <w:ind w:left="113" w:right="113"/>
              <w:jc w:val="center"/>
              <w:rPr>
                <w:rFonts w:ascii="Times New Roman" w:hAnsi="Times New Roman"/>
              </w:rPr>
            </w:pPr>
            <w:r w:rsidRPr="005053B8">
              <w:rPr>
                <w:rFonts w:ascii="Times New Roman" w:hAnsi="Times New Roman"/>
                <w:b/>
              </w:rPr>
              <w:t>Min</w:t>
            </w:r>
          </w:p>
        </w:tc>
        <w:tc>
          <w:tcPr>
            <w:tcW w:w="533" w:type="dxa"/>
            <w:tcBorders>
              <w:bottom w:val="single" w:sz="4" w:space="0" w:color="auto"/>
            </w:tcBorders>
            <w:shd w:val="clear" w:color="auto" w:fill="FFC000"/>
            <w:textDirection w:val="btLr"/>
            <w:vAlign w:val="center"/>
          </w:tcPr>
          <w:p w14:paraId="06BFF997" w14:textId="77777777" w:rsidR="005053B8" w:rsidRPr="005053B8" w:rsidRDefault="005053B8" w:rsidP="0087212A">
            <w:pPr>
              <w:ind w:left="113" w:right="113"/>
              <w:jc w:val="center"/>
              <w:rPr>
                <w:rFonts w:ascii="Times New Roman" w:hAnsi="Times New Roman"/>
              </w:rPr>
            </w:pPr>
            <w:r w:rsidRPr="005053B8">
              <w:rPr>
                <w:rFonts w:ascii="Times New Roman" w:hAnsi="Times New Roman"/>
                <w:b/>
              </w:rPr>
              <w:t>Max</w:t>
            </w:r>
          </w:p>
        </w:tc>
        <w:tc>
          <w:tcPr>
            <w:tcW w:w="494" w:type="dxa"/>
            <w:tcBorders>
              <w:bottom w:val="single" w:sz="4" w:space="0" w:color="auto"/>
            </w:tcBorders>
            <w:shd w:val="clear" w:color="auto" w:fill="FFC000"/>
            <w:textDirection w:val="btLr"/>
            <w:vAlign w:val="center"/>
          </w:tcPr>
          <w:p w14:paraId="0DD6CC68" w14:textId="77777777" w:rsidR="005053B8" w:rsidRPr="005053B8" w:rsidRDefault="005053B8" w:rsidP="0087212A">
            <w:pPr>
              <w:ind w:left="113" w:right="113"/>
              <w:jc w:val="center"/>
              <w:rPr>
                <w:rFonts w:ascii="Times New Roman" w:hAnsi="Times New Roman"/>
              </w:rPr>
            </w:pPr>
            <w:r w:rsidRPr="005053B8">
              <w:rPr>
                <w:rFonts w:ascii="Times New Roman" w:hAnsi="Times New Roman"/>
                <w:b/>
              </w:rPr>
              <w:t>Min</w:t>
            </w:r>
          </w:p>
        </w:tc>
        <w:tc>
          <w:tcPr>
            <w:tcW w:w="533" w:type="dxa"/>
            <w:tcBorders>
              <w:bottom w:val="single" w:sz="4" w:space="0" w:color="auto"/>
            </w:tcBorders>
            <w:shd w:val="clear" w:color="auto" w:fill="FFC000"/>
            <w:textDirection w:val="btLr"/>
            <w:vAlign w:val="center"/>
          </w:tcPr>
          <w:p w14:paraId="046C6E41" w14:textId="77777777" w:rsidR="005053B8" w:rsidRPr="005053B8" w:rsidRDefault="005053B8" w:rsidP="0087212A">
            <w:pPr>
              <w:ind w:left="113" w:right="113"/>
              <w:jc w:val="center"/>
              <w:rPr>
                <w:rFonts w:ascii="Times New Roman" w:hAnsi="Times New Roman"/>
              </w:rPr>
            </w:pPr>
            <w:r w:rsidRPr="005053B8">
              <w:rPr>
                <w:rFonts w:ascii="Times New Roman" w:hAnsi="Times New Roman"/>
                <w:b/>
              </w:rPr>
              <w:t>Max</w:t>
            </w:r>
          </w:p>
        </w:tc>
        <w:tc>
          <w:tcPr>
            <w:tcW w:w="888" w:type="dxa"/>
            <w:shd w:val="clear" w:color="auto" w:fill="FFC000"/>
            <w:vAlign w:val="center"/>
          </w:tcPr>
          <w:p w14:paraId="4ECE5721" w14:textId="77777777" w:rsidR="005053B8" w:rsidRPr="007A50C9" w:rsidRDefault="005053B8" w:rsidP="0087212A">
            <w:pPr>
              <w:jc w:val="center"/>
              <w:rPr>
                <w:rFonts w:ascii="Times New Roman" w:hAnsi="Times New Roman"/>
              </w:rPr>
            </w:pPr>
            <w:r w:rsidRPr="007A50C9">
              <w:rPr>
                <w:rFonts w:ascii="Times New Roman" w:hAnsi="Times New Roman"/>
              </w:rPr>
              <w:t>Best</w:t>
            </w:r>
          </w:p>
          <w:p w14:paraId="5CF16A93" w14:textId="77777777" w:rsidR="005053B8" w:rsidRPr="007A50C9" w:rsidRDefault="005053B8" w:rsidP="0087212A">
            <w:pPr>
              <w:jc w:val="center"/>
              <w:rPr>
                <w:rFonts w:ascii="Times New Roman" w:hAnsi="Times New Roman"/>
              </w:rPr>
            </w:pPr>
            <w:r w:rsidRPr="007A50C9">
              <w:rPr>
                <w:rFonts w:ascii="Times New Roman" w:hAnsi="Times New Roman"/>
              </w:rPr>
              <w:t>case</w:t>
            </w:r>
          </w:p>
        </w:tc>
        <w:tc>
          <w:tcPr>
            <w:tcW w:w="709" w:type="dxa"/>
            <w:shd w:val="clear" w:color="auto" w:fill="FFC000"/>
            <w:vAlign w:val="center"/>
          </w:tcPr>
          <w:p w14:paraId="34925E39" w14:textId="77777777" w:rsidR="005053B8" w:rsidRPr="007A50C9" w:rsidRDefault="005053B8" w:rsidP="0087212A">
            <w:pPr>
              <w:jc w:val="center"/>
              <w:rPr>
                <w:rFonts w:ascii="Times New Roman" w:hAnsi="Times New Roman"/>
              </w:rPr>
            </w:pPr>
            <w:r w:rsidRPr="007A50C9">
              <w:rPr>
                <w:rFonts w:ascii="Times New Roman" w:hAnsi="Times New Roman"/>
              </w:rPr>
              <w:t>Worst</w:t>
            </w:r>
          </w:p>
          <w:p w14:paraId="6E357BDC" w14:textId="77777777" w:rsidR="005053B8" w:rsidRPr="007A50C9" w:rsidRDefault="005053B8" w:rsidP="0087212A">
            <w:pPr>
              <w:jc w:val="center"/>
              <w:rPr>
                <w:rFonts w:ascii="Times New Roman" w:hAnsi="Times New Roman"/>
              </w:rPr>
            </w:pPr>
            <w:r w:rsidRPr="007A50C9">
              <w:rPr>
                <w:rFonts w:ascii="Times New Roman" w:hAnsi="Times New Roman"/>
              </w:rPr>
              <w:t>case</w:t>
            </w:r>
          </w:p>
        </w:tc>
        <w:tc>
          <w:tcPr>
            <w:tcW w:w="709" w:type="dxa"/>
            <w:shd w:val="clear" w:color="auto" w:fill="FFC000"/>
            <w:vAlign w:val="center"/>
          </w:tcPr>
          <w:p w14:paraId="14DD87E2" w14:textId="77777777" w:rsidR="005053B8" w:rsidRPr="007A50C9" w:rsidRDefault="005053B8" w:rsidP="0087212A">
            <w:pPr>
              <w:jc w:val="center"/>
              <w:rPr>
                <w:rFonts w:ascii="Times New Roman" w:hAnsi="Times New Roman"/>
              </w:rPr>
            </w:pPr>
            <w:r w:rsidRPr="007A50C9">
              <w:rPr>
                <w:rFonts w:ascii="Times New Roman" w:hAnsi="Times New Roman"/>
              </w:rPr>
              <w:t>Best</w:t>
            </w:r>
          </w:p>
          <w:p w14:paraId="11B29E61" w14:textId="77777777" w:rsidR="005053B8" w:rsidRPr="007A50C9" w:rsidRDefault="005053B8" w:rsidP="0087212A">
            <w:pPr>
              <w:jc w:val="center"/>
              <w:rPr>
                <w:rFonts w:ascii="Times New Roman" w:hAnsi="Times New Roman"/>
              </w:rPr>
            </w:pPr>
            <w:r w:rsidRPr="007A50C9">
              <w:rPr>
                <w:rFonts w:ascii="Times New Roman" w:hAnsi="Times New Roman"/>
              </w:rPr>
              <w:t>case</w:t>
            </w:r>
          </w:p>
        </w:tc>
        <w:tc>
          <w:tcPr>
            <w:tcW w:w="708" w:type="dxa"/>
            <w:shd w:val="clear" w:color="auto" w:fill="FFC000"/>
            <w:vAlign w:val="center"/>
          </w:tcPr>
          <w:p w14:paraId="0C72A856" w14:textId="77777777" w:rsidR="005053B8" w:rsidRPr="007A50C9" w:rsidRDefault="005053B8" w:rsidP="0087212A">
            <w:pPr>
              <w:jc w:val="center"/>
              <w:rPr>
                <w:rFonts w:ascii="Times New Roman" w:hAnsi="Times New Roman"/>
              </w:rPr>
            </w:pPr>
            <w:r w:rsidRPr="007A50C9">
              <w:rPr>
                <w:rFonts w:ascii="Times New Roman" w:hAnsi="Times New Roman"/>
              </w:rPr>
              <w:t>Worst</w:t>
            </w:r>
          </w:p>
          <w:p w14:paraId="25B0AE74" w14:textId="77777777" w:rsidR="005053B8" w:rsidRPr="007A50C9" w:rsidRDefault="005053B8" w:rsidP="0087212A">
            <w:pPr>
              <w:jc w:val="center"/>
              <w:rPr>
                <w:rFonts w:ascii="Times New Roman" w:hAnsi="Times New Roman"/>
              </w:rPr>
            </w:pPr>
            <w:r w:rsidRPr="007A50C9">
              <w:rPr>
                <w:rFonts w:ascii="Times New Roman" w:hAnsi="Times New Roman"/>
              </w:rPr>
              <w:t>case</w:t>
            </w:r>
          </w:p>
        </w:tc>
        <w:tc>
          <w:tcPr>
            <w:tcW w:w="709" w:type="dxa"/>
            <w:shd w:val="clear" w:color="auto" w:fill="FFC000"/>
            <w:vAlign w:val="center"/>
          </w:tcPr>
          <w:p w14:paraId="06216F5C" w14:textId="77777777" w:rsidR="005053B8" w:rsidRPr="007A50C9" w:rsidRDefault="005053B8" w:rsidP="0087212A">
            <w:pPr>
              <w:jc w:val="center"/>
              <w:rPr>
                <w:rFonts w:ascii="Times New Roman" w:hAnsi="Times New Roman"/>
              </w:rPr>
            </w:pPr>
            <w:r w:rsidRPr="007A50C9">
              <w:rPr>
                <w:rFonts w:ascii="Times New Roman" w:hAnsi="Times New Roman"/>
              </w:rPr>
              <w:t>Best</w:t>
            </w:r>
          </w:p>
          <w:p w14:paraId="4BB9E062" w14:textId="77777777" w:rsidR="005053B8" w:rsidRPr="007A50C9" w:rsidRDefault="00871A29" w:rsidP="0087212A">
            <w:pPr>
              <w:jc w:val="center"/>
              <w:rPr>
                <w:rFonts w:ascii="Times New Roman" w:hAnsi="Times New Roman"/>
              </w:rPr>
            </w:pPr>
            <w:r w:rsidRPr="007A50C9">
              <w:rPr>
                <w:rFonts w:ascii="Times New Roman" w:hAnsi="Times New Roman"/>
              </w:rPr>
              <w:t>C</w:t>
            </w:r>
            <w:r w:rsidR="005053B8" w:rsidRPr="007A50C9">
              <w:rPr>
                <w:rFonts w:ascii="Times New Roman" w:hAnsi="Times New Roman"/>
              </w:rPr>
              <w:t>ase</w:t>
            </w:r>
          </w:p>
        </w:tc>
        <w:tc>
          <w:tcPr>
            <w:tcW w:w="709" w:type="dxa"/>
            <w:shd w:val="clear" w:color="auto" w:fill="FFC000"/>
            <w:vAlign w:val="center"/>
          </w:tcPr>
          <w:p w14:paraId="34E1DFC7" w14:textId="77777777" w:rsidR="005053B8" w:rsidRPr="007A50C9" w:rsidRDefault="005053B8" w:rsidP="0087212A">
            <w:pPr>
              <w:jc w:val="center"/>
              <w:rPr>
                <w:rFonts w:ascii="Times New Roman" w:hAnsi="Times New Roman"/>
              </w:rPr>
            </w:pPr>
            <w:r w:rsidRPr="007A50C9">
              <w:rPr>
                <w:rFonts w:ascii="Times New Roman" w:hAnsi="Times New Roman"/>
              </w:rPr>
              <w:t>Worst</w:t>
            </w:r>
          </w:p>
          <w:p w14:paraId="58529668" w14:textId="77777777" w:rsidR="005053B8" w:rsidRPr="007A50C9" w:rsidRDefault="005053B8" w:rsidP="0087212A">
            <w:pPr>
              <w:jc w:val="center"/>
              <w:rPr>
                <w:rFonts w:ascii="Times New Roman" w:hAnsi="Times New Roman"/>
              </w:rPr>
            </w:pPr>
            <w:r w:rsidRPr="007A50C9">
              <w:rPr>
                <w:rFonts w:ascii="Times New Roman" w:hAnsi="Times New Roman"/>
              </w:rPr>
              <w:t>case</w:t>
            </w:r>
          </w:p>
        </w:tc>
        <w:tc>
          <w:tcPr>
            <w:tcW w:w="709" w:type="dxa"/>
            <w:shd w:val="clear" w:color="auto" w:fill="FFC000"/>
            <w:vAlign w:val="center"/>
          </w:tcPr>
          <w:p w14:paraId="7360E7B3" w14:textId="77777777" w:rsidR="005053B8" w:rsidRPr="007A50C9" w:rsidRDefault="005053B8" w:rsidP="0087212A">
            <w:pPr>
              <w:jc w:val="center"/>
              <w:rPr>
                <w:rFonts w:ascii="Times New Roman" w:hAnsi="Times New Roman"/>
              </w:rPr>
            </w:pPr>
            <w:r w:rsidRPr="007A50C9">
              <w:rPr>
                <w:rFonts w:ascii="Times New Roman" w:hAnsi="Times New Roman"/>
              </w:rPr>
              <w:t>Best</w:t>
            </w:r>
          </w:p>
          <w:p w14:paraId="67A5A8A6" w14:textId="77777777" w:rsidR="005053B8" w:rsidRPr="007A50C9" w:rsidRDefault="005053B8" w:rsidP="0087212A">
            <w:pPr>
              <w:jc w:val="center"/>
              <w:rPr>
                <w:rFonts w:ascii="Times New Roman" w:hAnsi="Times New Roman"/>
              </w:rPr>
            </w:pPr>
            <w:r w:rsidRPr="007A50C9">
              <w:rPr>
                <w:rFonts w:ascii="Times New Roman" w:hAnsi="Times New Roman"/>
              </w:rPr>
              <w:t>case</w:t>
            </w:r>
          </w:p>
        </w:tc>
        <w:tc>
          <w:tcPr>
            <w:tcW w:w="708" w:type="dxa"/>
            <w:shd w:val="clear" w:color="auto" w:fill="FFC000"/>
            <w:vAlign w:val="center"/>
          </w:tcPr>
          <w:p w14:paraId="5943D46D" w14:textId="77777777" w:rsidR="005053B8" w:rsidRPr="007A50C9" w:rsidRDefault="005053B8" w:rsidP="0087212A">
            <w:pPr>
              <w:jc w:val="center"/>
              <w:rPr>
                <w:rFonts w:ascii="Times New Roman" w:hAnsi="Times New Roman"/>
              </w:rPr>
            </w:pPr>
            <w:r w:rsidRPr="007A50C9">
              <w:rPr>
                <w:rFonts w:ascii="Times New Roman" w:hAnsi="Times New Roman"/>
              </w:rPr>
              <w:t>Worst</w:t>
            </w:r>
          </w:p>
          <w:p w14:paraId="1A39378F" w14:textId="77777777" w:rsidR="005053B8" w:rsidRPr="007A50C9" w:rsidRDefault="005053B8" w:rsidP="0087212A">
            <w:pPr>
              <w:jc w:val="center"/>
              <w:rPr>
                <w:rFonts w:ascii="Times New Roman" w:hAnsi="Times New Roman"/>
              </w:rPr>
            </w:pPr>
            <w:r w:rsidRPr="007A50C9">
              <w:rPr>
                <w:rFonts w:ascii="Times New Roman" w:hAnsi="Times New Roman"/>
              </w:rPr>
              <w:t>case</w:t>
            </w:r>
          </w:p>
        </w:tc>
      </w:tr>
      <w:tr w:rsidR="005053B8" w:rsidRPr="005053B8" w14:paraId="006F95EF" w14:textId="77777777" w:rsidTr="0087212A">
        <w:tc>
          <w:tcPr>
            <w:tcW w:w="1271" w:type="dxa"/>
          </w:tcPr>
          <w:p w14:paraId="69685FCC" w14:textId="77777777" w:rsidR="005053B8" w:rsidRPr="005053B8" w:rsidRDefault="005053B8" w:rsidP="0087212A">
            <w:pPr>
              <w:jc w:val="center"/>
              <w:rPr>
                <w:rFonts w:ascii="Times New Roman" w:hAnsi="Times New Roman"/>
              </w:rPr>
            </w:pPr>
            <w:r w:rsidRPr="005053B8">
              <w:rPr>
                <w:rFonts w:ascii="Times New Roman" w:hAnsi="Times New Roman"/>
              </w:rPr>
              <w:t>Active substance</w:t>
            </w:r>
          </w:p>
        </w:tc>
        <w:tc>
          <w:tcPr>
            <w:tcW w:w="992" w:type="dxa"/>
            <w:vAlign w:val="center"/>
          </w:tcPr>
          <w:p w14:paraId="642FF7F0" w14:textId="77777777" w:rsidR="005053B8" w:rsidRPr="005053B8" w:rsidRDefault="005053B8" w:rsidP="0087212A">
            <w:pPr>
              <w:jc w:val="center"/>
              <w:rPr>
                <w:rFonts w:ascii="Times New Roman" w:hAnsi="Times New Roman"/>
              </w:rPr>
            </w:pPr>
            <w:r w:rsidRPr="005053B8">
              <w:rPr>
                <w:rFonts w:ascii="Times New Roman" w:hAnsi="Times New Roman"/>
              </w:rPr>
              <w:t>Always relevant</w:t>
            </w:r>
          </w:p>
        </w:tc>
        <w:tc>
          <w:tcPr>
            <w:tcW w:w="529" w:type="dxa"/>
            <w:vAlign w:val="center"/>
          </w:tcPr>
          <w:p w14:paraId="1F47A26F" w14:textId="77777777" w:rsidR="005053B8" w:rsidRPr="005053B8" w:rsidRDefault="005053B8" w:rsidP="0087212A">
            <w:pPr>
              <w:jc w:val="center"/>
              <w:rPr>
                <w:rFonts w:ascii="Times New Roman" w:hAnsi="Times New Roman"/>
              </w:rPr>
            </w:pPr>
            <w:r w:rsidRPr="005053B8">
              <w:rPr>
                <w:rFonts w:ascii="Times New Roman" w:hAnsi="Times New Roman"/>
              </w:rPr>
              <w:t>60</w:t>
            </w:r>
          </w:p>
        </w:tc>
        <w:tc>
          <w:tcPr>
            <w:tcW w:w="533" w:type="dxa"/>
            <w:vAlign w:val="center"/>
          </w:tcPr>
          <w:p w14:paraId="1A2F338D" w14:textId="77777777" w:rsidR="005053B8" w:rsidRPr="005053B8" w:rsidRDefault="005053B8" w:rsidP="0087212A">
            <w:pPr>
              <w:jc w:val="center"/>
              <w:rPr>
                <w:rFonts w:ascii="Times New Roman" w:hAnsi="Times New Roman"/>
              </w:rPr>
            </w:pPr>
            <w:r w:rsidRPr="005053B8">
              <w:rPr>
                <w:rFonts w:ascii="Times New Roman" w:hAnsi="Times New Roman"/>
              </w:rPr>
              <w:t>80</w:t>
            </w:r>
          </w:p>
        </w:tc>
        <w:tc>
          <w:tcPr>
            <w:tcW w:w="494" w:type="dxa"/>
            <w:vAlign w:val="center"/>
          </w:tcPr>
          <w:p w14:paraId="1FD956AE" w14:textId="77777777" w:rsidR="005053B8" w:rsidRPr="005053B8" w:rsidRDefault="005053B8" w:rsidP="0087212A">
            <w:pPr>
              <w:jc w:val="center"/>
              <w:rPr>
                <w:rFonts w:ascii="Times New Roman" w:hAnsi="Times New Roman"/>
              </w:rPr>
            </w:pPr>
            <w:r w:rsidRPr="005053B8">
              <w:rPr>
                <w:rFonts w:ascii="Times New Roman" w:hAnsi="Times New Roman"/>
              </w:rPr>
              <w:t>6</w:t>
            </w:r>
          </w:p>
        </w:tc>
        <w:tc>
          <w:tcPr>
            <w:tcW w:w="533" w:type="dxa"/>
            <w:vAlign w:val="center"/>
          </w:tcPr>
          <w:p w14:paraId="6FDF1C5D" w14:textId="77777777" w:rsidR="005053B8" w:rsidRPr="005053B8" w:rsidRDefault="005053B8" w:rsidP="0087212A">
            <w:pPr>
              <w:jc w:val="center"/>
              <w:rPr>
                <w:rFonts w:ascii="Times New Roman" w:hAnsi="Times New Roman"/>
              </w:rPr>
            </w:pPr>
            <w:r w:rsidRPr="005053B8">
              <w:rPr>
                <w:rFonts w:ascii="Times New Roman" w:hAnsi="Times New Roman"/>
              </w:rPr>
              <w:t>8</w:t>
            </w:r>
          </w:p>
        </w:tc>
        <w:tc>
          <w:tcPr>
            <w:tcW w:w="888" w:type="dxa"/>
            <w:vAlign w:val="center"/>
          </w:tcPr>
          <w:p w14:paraId="5D4FFCBE" w14:textId="77777777" w:rsidR="005053B8" w:rsidRPr="005053B8" w:rsidRDefault="005053B8" w:rsidP="0087212A">
            <w:pPr>
              <w:jc w:val="center"/>
              <w:rPr>
                <w:rFonts w:ascii="Times New Roman" w:hAnsi="Times New Roman"/>
              </w:rPr>
            </w:pPr>
            <w:r w:rsidRPr="005053B8">
              <w:rPr>
                <w:rFonts w:ascii="Times New Roman" w:hAnsi="Times New Roman"/>
              </w:rPr>
              <w:t>60</w:t>
            </w:r>
          </w:p>
        </w:tc>
        <w:tc>
          <w:tcPr>
            <w:tcW w:w="709" w:type="dxa"/>
            <w:vAlign w:val="center"/>
          </w:tcPr>
          <w:p w14:paraId="609FE0A9" w14:textId="77777777" w:rsidR="005053B8" w:rsidRPr="005053B8" w:rsidRDefault="005053B8" w:rsidP="0087212A">
            <w:pPr>
              <w:jc w:val="center"/>
              <w:rPr>
                <w:rFonts w:ascii="Times New Roman" w:hAnsi="Times New Roman"/>
              </w:rPr>
            </w:pPr>
            <w:r w:rsidRPr="005053B8">
              <w:rPr>
                <w:rFonts w:ascii="Times New Roman" w:hAnsi="Times New Roman"/>
              </w:rPr>
              <w:t>80</w:t>
            </w:r>
          </w:p>
        </w:tc>
        <w:tc>
          <w:tcPr>
            <w:tcW w:w="709" w:type="dxa"/>
            <w:vAlign w:val="center"/>
          </w:tcPr>
          <w:p w14:paraId="707A92DA" w14:textId="77777777" w:rsidR="005053B8" w:rsidRPr="005053B8" w:rsidRDefault="005053B8" w:rsidP="0087212A">
            <w:pPr>
              <w:jc w:val="center"/>
              <w:rPr>
                <w:rFonts w:ascii="Times New Roman" w:hAnsi="Times New Roman"/>
              </w:rPr>
            </w:pPr>
            <w:r w:rsidRPr="005053B8">
              <w:rPr>
                <w:rFonts w:ascii="Times New Roman" w:hAnsi="Times New Roman"/>
              </w:rPr>
              <w:t>6</w:t>
            </w:r>
          </w:p>
        </w:tc>
        <w:tc>
          <w:tcPr>
            <w:tcW w:w="708" w:type="dxa"/>
            <w:vAlign w:val="center"/>
          </w:tcPr>
          <w:p w14:paraId="29609EC5" w14:textId="77777777" w:rsidR="005053B8" w:rsidRPr="005053B8" w:rsidRDefault="005053B8" w:rsidP="0087212A">
            <w:pPr>
              <w:jc w:val="center"/>
              <w:rPr>
                <w:rFonts w:ascii="Times New Roman" w:hAnsi="Times New Roman"/>
              </w:rPr>
            </w:pPr>
            <w:r w:rsidRPr="005053B8">
              <w:rPr>
                <w:rFonts w:ascii="Times New Roman" w:hAnsi="Times New Roman"/>
              </w:rPr>
              <w:t>8</w:t>
            </w:r>
          </w:p>
        </w:tc>
        <w:tc>
          <w:tcPr>
            <w:tcW w:w="709" w:type="dxa"/>
            <w:vAlign w:val="center"/>
          </w:tcPr>
          <w:p w14:paraId="7AB7C2DB" w14:textId="77777777" w:rsidR="005053B8" w:rsidRPr="005053B8" w:rsidRDefault="005053B8" w:rsidP="0087212A">
            <w:pPr>
              <w:jc w:val="center"/>
              <w:rPr>
                <w:rFonts w:ascii="Times New Roman" w:hAnsi="Times New Roman"/>
              </w:rPr>
            </w:pPr>
            <w:r w:rsidRPr="005053B8">
              <w:rPr>
                <w:rFonts w:ascii="Times New Roman" w:hAnsi="Times New Roman"/>
              </w:rPr>
              <w:t>60</w:t>
            </w:r>
          </w:p>
        </w:tc>
        <w:tc>
          <w:tcPr>
            <w:tcW w:w="709" w:type="dxa"/>
            <w:vAlign w:val="center"/>
          </w:tcPr>
          <w:p w14:paraId="76BB3CD9" w14:textId="77777777" w:rsidR="005053B8" w:rsidRPr="005053B8" w:rsidRDefault="005053B8" w:rsidP="0087212A">
            <w:pPr>
              <w:jc w:val="center"/>
              <w:rPr>
                <w:rFonts w:ascii="Times New Roman" w:hAnsi="Times New Roman"/>
              </w:rPr>
            </w:pPr>
            <w:r w:rsidRPr="005053B8">
              <w:rPr>
                <w:rFonts w:ascii="Times New Roman" w:hAnsi="Times New Roman"/>
              </w:rPr>
              <w:t>80</w:t>
            </w:r>
          </w:p>
        </w:tc>
        <w:tc>
          <w:tcPr>
            <w:tcW w:w="709" w:type="dxa"/>
            <w:vAlign w:val="center"/>
          </w:tcPr>
          <w:p w14:paraId="081A4340" w14:textId="77777777" w:rsidR="005053B8" w:rsidRPr="005053B8" w:rsidRDefault="005053B8" w:rsidP="0087212A">
            <w:pPr>
              <w:jc w:val="center"/>
              <w:rPr>
                <w:rFonts w:ascii="Times New Roman" w:hAnsi="Times New Roman"/>
              </w:rPr>
            </w:pPr>
            <w:r w:rsidRPr="005053B8">
              <w:rPr>
                <w:rFonts w:ascii="Times New Roman" w:hAnsi="Times New Roman"/>
              </w:rPr>
              <w:t>6</w:t>
            </w:r>
          </w:p>
        </w:tc>
        <w:tc>
          <w:tcPr>
            <w:tcW w:w="708" w:type="dxa"/>
            <w:vAlign w:val="center"/>
          </w:tcPr>
          <w:p w14:paraId="7292AFCF" w14:textId="77777777" w:rsidR="005053B8" w:rsidRPr="005053B8" w:rsidRDefault="005053B8" w:rsidP="0087212A">
            <w:pPr>
              <w:jc w:val="center"/>
              <w:rPr>
                <w:rFonts w:ascii="Times New Roman" w:hAnsi="Times New Roman"/>
              </w:rPr>
            </w:pPr>
            <w:r w:rsidRPr="005053B8">
              <w:rPr>
                <w:rFonts w:ascii="Times New Roman" w:hAnsi="Times New Roman"/>
              </w:rPr>
              <w:t>8</w:t>
            </w:r>
          </w:p>
        </w:tc>
      </w:tr>
      <w:tr w:rsidR="005053B8" w:rsidRPr="005053B8" w14:paraId="7679CA38" w14:textId="77777777" w:rsidTr="0087212A">
        <w:tc>
          <w:tcPr>
            <w:tcW w:w="1271" w:type="dxa"/>
            <w:tcBorders>
              <w:bottom w:val="single" w:sz="4" w:space="0" w:color="auto"/>
            </w:tcBorders>
          </w:tcPr>
          <w:p w14:paraId="53D79D82" w14:textId="77777777" w:rsidR="005053B8" w:rsidRPr="005053B8" w:rsidRDefault="005053B8" w:rsidP="0087212A">
            <w:pPr>
              <w:jc w:val="center"/>
              <w:rPr>
                <w:rFonts w:ascii="Times New Roman" w:hAnsi="Times New Roman"/>
              </w:rPr>
            </w:pPr>
            <w:r w:rsidRPr="005053B8">
              <w:rPr>
                <w:rFonts w:ascii="Times New Roman" w:hAnsi="Times New Roman"/>
              </w:rPr>
              <w:t>Solvent 1</w:t>
            </w:r>
          </w:p>
        </w:tc>
        <w:tc>
          <w:tcPr>
            <w:tcW w:w="992" w:type="dxa"/>
            <w:vAlign w:val="center"/>
          </w:tcPr>
          <w:p w14:paraId="11C25A19" w14:textId="77777777" w:rsidR="005053B8" w:rsidRPr="005053B8" w:rsidRDefault="005053B8" w:rsidP="0087212A">
            <w:pPr>
              <w:jc w:val="center"/>
              <w:rPr>
                <w:rFonts w:ascii="Times New Roman" w:hAnsi="Times New Roman"/>
              </w:rPr>
            </w:pPr>
            <w:r w:rsidRPr="005053B8">
              <w:rPr>
                <w:rFonts w:ascii="Times New Roman" w:hAnsi="Times New Roman"/>
              </w:rPr>
              <w:t>SoC for ENV</w:t>
            </w:r>
          </w:p>
        </w:tc>
        <w:tc>
          <w:tcPr>
            <w:tcW w:w="529" w:type="dxa"/>
            <w:vAlign w:val="center"/>
          </w:tcPr>
          <w:p w14:paraId="6807362A" w14:textId="77777777" w:rsidR="005053B8" w:rsidRPr="005053B8" w:rsidRDefault="005053B8" w:rsidP="0087212A">
            <w:pPr>
              <w:jc w:val="center"/>
              <w:rPr>
                <w:rFonts w:ascii="Times New Roman" w:hAnsi="Times New Roman"/>
              </w:rPr>
            </w:pPr>
            <w:r w:rsidRPr="005053B8">
              <w:rPr>
                <w:rFonts w:ascii="Times New Roman" w:hAnsi="Times New Roman"/>
              </w:rPr>
              <w:t>20</w:t>
            </w:r>
          </w:p>
        </w:tc>
        <w:tc>
          <w:tcPr>
            <w:tcW w:w="533" w:type="dxa"/>
            <w:vAlign w:val="center"/>
          </w:tcPr>
          <w:p w14:paraId="77B5D53A" w14:textId="77777777" w:rsidR="005053B8" w:rsidRPr="005053B8" w:rsidRDefault="005053B8" w:rsidP="0087212A">
            <w:pPr>
              <w:jc w:val="center"/>
              <w:rPr>
                <w:rFonts w:ascii="Times New Roman" w:hAnsi="Times New Roman"/>
              </w:rPr>
            </w:pPr>
            <w:r w:rsidRPr="005053B8">
              <w:rPr>
                <w:rFonts w:ascii="Times New Roman" w:hAnsi="Times New Roman"/>
              </w:rPr>
              <w:t>40</w:t>
            </w:r>
          </w:p>
        </w:tc>
        <w:tc>
          <w:tcPr>
            <w:tcW w:w="494" w:type="dxa"/>
            <w:vAlign w:val="center"/>
          </w:tcPr>
          <w:p w14:paraId="15C20876" w14:textId="77777777" w:rsidR="005053B8" w:rsidRPr="005053B8" w:rsidRDefault="005053B8" w:rsidP="0087212A">
            <w:pPr>
              <w:jc w:val="center"/>
              <w:rPr>
                <w:rFonts w:ascii="Times New Roman" w:hAnsi="Times New Roman"/>
              </w:rPr>
            </w:pPr>
            <w:r w:rsidRPr="005053B8">
              <w:rPr>
                <w:rFonts w:ascii="Times New Roman" w:hAnsi="Times New Roman"/>
              </w:rPr>
              <w:t>2</w:t>
            </w:r>
          </w:p>
        </w:tc>
        <w:tc>
          <w:tcPr>
            <w:tcW w:w="533" w:type="dxa"/>
            <w:vAlign w:val="center"/>
          </w:tcPr>
          <w:p w14:paraId="4FCB4A0B" w14:textId="77777777" w:rsidR="005053B8" w:rsidRPr="005053B8" w:rsidRDefault="005053B8" w:rsidP="0087212A">
            <w:pPr>
              <w:jc w:val="center"/>
              <w:rPr>
                <w:rFonts w:ascii="Times New Roman" w:hAnsi="Times New Roman"/>
              </w:rPr>
            </w:pPr>
            <w:r w:rsidRPr="005053B8">
              <w:rPr>
                <w:rFonts w:ascii="Times New Roman" w:hAnsi="Times New Roman"/>
              </w:rPr>
              <w:t>4</w:t>
            </w:r>
          </w:p>
        </w:tc>
        <w:tc>
          <w:tcPr>
            <w:tcW w:w="3014" w:type="dxa"/>
            <w:gridSpan w:val="4"/>
            <w:vAlign w:val="center"/>
          </w:tcPr>
          <w:p w14:paraId="44E46428" w14:textId="77777777" w:rsidR="005053B8" w:rsidRPr="005053B8" w:rsidRDefault="005053B8" w:rsidP="0087212A">
            <w:pPr>
              <w:jc w:val="center"/>
              <w:rPr>
                <w:rFonts w:ascii="Times New Roman" w:hAnsi="Times New Roman"/>
              </w:rPr>
            </w:pPr>
            <w:r w:rsidRPr="005053B8">
              <w:rPr>
                <w:rFonts w:ascii="Times New Roman" w:hAnsi="Times New Roman"/>
              </w:rPr>
              <w:t>Not relevant</w:t>
            </w:r>
          </w:p>
        </w:tc>
        <w:tc>
          <w:tcPr>
            <w:tcW w:w="709" w:type="dxa"/>
            <w:vAlign w:val="center"/>
          </w:tcPr>
          <w:p w14:paraId="08E33C69" w14:textId="77777777" w:rsidR="005053B8" w:rsidRPr="005053B8" w:rsidRDefault="005053B8" w:rsidP="0087212A">
            <w:pPr>
              <w:jc w:val="center"/>
              <w:rPr>
                <w:rFonts w:ascii="Times New Roman" w:hAnsi="Times New Roman"/>
              </w:rPr>
            </w:pPr>
            <w:r w:rsidRPr="005053B8">
              <w:rPr>
                <w:rFonts w:ascii="Times New Roman" w:hAnsi="Times New Roman"/>
              </w:rPr>
              <w:t>20</w:t>
            </w:r>
          </w:p>
        </w:tc>
        <w:tc>
          <w:tcPr>
            <w:tcW w:w="709" w:type="dxa"/>
            <w:vAlign w:val="center"/>
          </w:tcPr>
          <w:p w14:paraId="10912E83" w14:textId="77777777" w:rsidR="005053B8" w:rsidRPr="005053B8" w:rsidRDefault="005053B8" w:rsidP="0087212A">
            <w:pPr>
              <w:jc w:val="center"/>
              <w:rPr>
                <w:rFonts w:ascii="Times New Roman" w:hAnsi="Times New Roman"/>
              </w:rPr>
            </w:pPr>
            <w:r w:rsidRPr="005053B8">
              <w:rPr>
                <w:rFonts w:ascii="Times New Roman" w:hAnsi="Times New Roman"/>
              </w:rPr>
              <w:t>40</w:t>
            </w:r>
          </w:p>
        </w:tc>
        <w:tc>
          <w:tcPr>
            <w:tcW w:w="709" w:type="dxa"/>
            <w:vAlign w:val="center"/>
          </w:tcPr>
          <w:p w14:paraId="2CB20B11" w14:textId="77777777" w:rsidR="005053B8" w:rsidRPr="005053B8" w:rsidRDefault="005053B8" w:rsidP="0087212A">
            <w:pPr>
              <w:jc w:val="center"/>
              <w:rPr>
                <w:rFonts w:ascii="Times New Roman" w:hAnsi="Times New Roman"/>
              </w:rPr>
            </w:pPr>
            <w:r w:rsidRPr="005053B8">
              <w:rPr>
                <w:rFonts w:ascii="Times New Roman" w:hAnsi="Times New Roman"/>
              </w:rPr>
              <w:t>2</w:t>
            </w:r>
          </w:p>
        </w:tc>
        <w:tc>
          <w:tcPr>
            <w:tcW w:w="708" w:type="dxa"/>
            <w:vAlign w:val="center"/>
          </w:tcPr>
          <w:p w14:paraId="455F5CD9" w14:textId="77777777" w:rsidR="005053B8" w:rsidRPr="005053B8" w:rsidRDefault="005053B8" w:rsidP="0087212A">
            <w:pPr>
              <w:jc w:val="center"/>
              <w:rPr>
                <w:rFonts w:ascii="Times New Roman" w:hAnsi="Times New Roman"/>
              </w:rPr>
            </w:pPr>
            <w:r w:rsidRPr="005053B8">
              <w:rPr>
                <w:rFonts w:ascii="Times New Roman" w:hAnsi="Times New Roman"/>
              </w:rPr>
              <w:t>4</w:t>
            </w:r>
          </w:p>
        </w:tc>
      </w:tr>
      <w:tr w:rsidR="005053B8" w:rsidRPr="005053B8" w14:paraId="03299FD0" w14:textId="77777777" w:rsidTr="0087212A">
        <w:tc>
          <w:tcPr>
            <w:tcW w:w="1271" w:type="dxa"/>
            <w:tcBorders>
              <w:bottom w:val="single" w:sz="4" w:space="0" w:color="auto"/>
            </w:tcBorders>
          </w:tcPr>
          <w:p w14:paraId="394FBAEF" w14:textId="77777777" w:rsidR="005053B8" w:rsidRPr="005053B8" w:rsidRDefault="005053B8" w:rsidP="0087212A">
            <w:pPr>
              <w:jc w:val="center"/>
              <w:rPr>
                <w:rFonts w:ascii="Times New Roman" w:hAnsi="Times New Roman"/>
              </w:rPr>
            </w:pPr>
            <w:r w:rsidRPr="005053B8">
              <w:rPr>
                <w:rFonts w:ascii="Times New Roman" w:hAnsi="Times New Roman"/>
              </w:rPr>
              <w:t>Solvent 2</w:t>
            </w:r>
          </w:p>
        </w:tc>
        <w:tc>
          <w:tcPr>
            <w:tcW w:w="992" w:type="dxa"/>
            <w:tcBorders>
              <w:bottom w:val="single" w:sz="4" w:space="0" w:color="auto"/>
            </w:tcBorders>
            <w:vAlign w:val="center"/>
          </w:tcPr>
          <w:p w14:paraId="42C32E94" w14:textId="77777777" w:rsidR="005053B8" w:rsidRPr="005053B8" w:rsidRDefault="005053B8" w:rsidP="0087212A">
            <w:pPr>
              <w:jc w:val="center"/>
              <w:rPr>
                <w:rFonts w:ascii="Times New Roman" w:hAnsi="Times New Roman"/>
              </w:rPr>
            </w:pPr>
            <w:r w:rsidRPr="005053B8">
              <w:rPr>
                <w:rFonts w:ascii="Times New Roman" w:hAnsi="Times New Roman"/>
              </w:rPr>
              <w:t>Not relevant</w:t>
            </w:r>
          </w:p>
        </w:tc>
        <w:tc>
          <w:tcPr>
            <w:tcW w:w="529" w:type="dxa"/>
            <w:tcBorders>
              <w:bottom w:val="single" w:sz="4" w:space="0" w:color="auto"/>
            </w:tcBorders>
            <w:vAlign w:val="center"/>
          </w:tcPr>
          <w:p w14:paraId="54DEAFBE" w14:textId="77777777" w:rsidR="005053B8" w:rsidRPr="005053B8" w:rsidRDefault="005053B8" w:rsidP="0087212A">
            <w:pPr>
              <w:jc w:val="center"/>
              <w:rPr>
                <w:rFonts w:ascii="Times New Roman" w:hAnsi="Times New Roman"/>
              </w:rPr>
            </w:pPr>
            <w:r w:rsidRPr="005053B8">
              <w:rPr>
                <w:rFonts w:ascii="Times New Roman" w:hAnsi="Times New Roman"/>
              </w:rPr>
              <w:t>0</w:t>
            </w:r>
          </w:p>
        </w:tc>
        <w:tc>
          <w:tcPr>
            <w:tcW w:w="533" w:type="dxa"/>
            <w:tcBorders>
              <w:bottom w:val="single" w:sz="4" w:space="0" w:color="auto"/>
            </w:tcBorders>
            <w:vAlign w:val="center"/>
          </w:tcPr>
          <w:p w14:paraId="7E08ECE7" w14:textId="77777777" w:rsidR="005053B8" w:rsidRPr="005053B8" w:rsidRDefault="005053B8" w:rsidP="0087212A">
            <w:pPr>
              <w:jc w:val="center"/>
              <w:rPr>
                <w:rFonts w:ascii="Times New Roman" w:hAnsi="Times New Roman"/>
              </w:rPr>
            </w:pPr>
            <w:r w:rsidRPr="005053B8">
              <w:rPr>
                <w:rFonts w:ascii="Times New Roman" w:hAnsi="Times New Roman"/>
              </w:rPr>
              <w:t>0</w:t>
            </w:r>
          </w:p>
        </w:tc>
        <w:tc>
          <w:tcPr>
            <w:tcW w:w="494" w:type="dxa"/>
            <w:tcBorders>
              <w:bottom w:val="single" w:sz="4" w:space="0" w:color="auto"/>
            </w:tcBorders>
            <w:vAlign w:val="center"/>
          </w:tcPr>
          <w:p w14:paraId="377554CD" w14:textId="77777777" w:rsidR="005053B8" w:rsidRPr="005053B8" w:rsidRDefault="005053B8" w:rsidP="0087212A">
            <w:pPr>
              <w:jc w:val="center"/>
              <w:rPr>
                <w:rFonts w:ascii="Times New Roman" w:hAnsi="Times New Roman"/>
              </w:rPr>
            </w:pPr>
            <w:r w:rsidRPr="005053B8">
              <w:rPr>
                <w:rFonts w:ascii="Times New Roman" w:hAnsi="Times New Roman"/>
              </w:rPr>
              <w:t>90</w:t>
            </w:r>
          </w:p>
        </w:tc>
        <w:tc>
          <w:tcPr>
            <w:tcW w:w="533" w:type="dxa"/>
            <w:tcBorders>
              <w:bottom w:val="single" w:sz="4" w:space="0" w:color="auto"/>
            </w:tcBorders>
            <w:vAlign w:val="center"/>
          </w:tcPr>
          <w:p w14:paraId="2B43121E" w14:textId="77777777" w:rsidR="005053B8" w:rsidRPr="005053B8" w:rsidRDefault="005053B8" w:rsidP="0087212A">
            <w:pPr>
              <w:jc w:val="center"/>
              <w:rPr>
                <w:rFonts w:ascii="Times New Roman" w:hAnsi="Times New Roman"/>
              </w:rPr>
            </w:pPr>
            <w:r w:rsidRPr="005053B8">
              <w:rPr>
                <w:rFonts w:ascii="Times New Roman" w:hAnsi="Times New Roman"/>
              </w:rPr>
              <w:t>90</w:t>
            </w:r>
          </w:p>
        </w:tc>
        <w:tc>
          <w:tcPr>
            <w:tcW w:w="3014" w:type="dxa"/>
            <w:gridSpan w:val="4"/>
            <w:tcBorders>
              <w:bottom w:val="single" w:sz="4" w:space="0" w:color="auto"/>
            </w:tcBorders>
            <w:vAlign w:val="center"/>
          </w:tcPr>
          <w:p w14:paraId="471AD3FA" w14:textId="77777777" w:rsidR="005053B8" w:rsidRPr="005053B8" w:rsidRDefault="005053B8" w:rsidP="0087212A">
            <w:pPr>
              <w:jc w:val="center"/>
              <w:rPr>
                <w:rFonts w:ascii="Times New Roman" w:hAnsi="Times New Roman"/>
              </w:rPr>
            </w:pPr>
            <w:r w:rsidRPr="005053B8">
              <w:rPr>
                <w:rFonts w:ascii="Times New Roman" w:hAnsi="Times New Roman"/>
              </w:rPr>
              <w:t>Not relevant</w:t>
            </w:r>
          </w:p>
        </w:tc>
        <w:tc>
          <w:tcPr>
            <w:tcW w:w="2835" w:type="dxa"/>
            <w:gridSpan w:val="4"/>
            <w:tcBorders>
              <w:bottom w:val="single" w:sz="4" w:space="0" w:color="auto"/>
            </w:tcBorders>
            <w:vAlign w:val="center"/>
          </w:tcPr>
          <w:p w14:paraId="6B42F7CF" w14:textId="77777777" w:rsidR="005053B8" w:rsidRPr="005053B8" w:rsidRDefault="005053B8" w:rsidP="0087212A">
            <w:pPr>
              <w:jc w:val="center"/>
              <w:rPr>
                <w:rFonts w:ascii="Times New Roman" w:hAnsi="Times New Roman"/>
              </w:rPr>
            </w:pPr>
            <w:r w:rsidRPr="005053B8">
              <w:rPr>
                <w:rFonts w:ascii="Times New Roman" w:hAnsi="Times New Roman"/>
              </w:rPr>
              <w:t>Not relevant</w:t>
            </w:r>
          </w:p>
        </w:tc>
      </w:tr>
    </w:tbl>
    <w:p w14:paraId="6EE49958" w14:textId="77777777" w:rsidR="005053B8" w:rsidRDefault="005053B8" w:rsidP="005053B8">
      <w:pPr>
        <w:spacing w:before="120"/>
        <w:rPr>
          <w:szCs w:val="24"/>
        </w:rPr>
      </w:pPr>
      <w:r w:rsidRPr="005053B8">
        <w:rPr>
          <w:b/>
          <w:szCs w:val="24"/>
        </w:rPr>
        <w:t xml:space="preserve">Table </w:t>
      </w:r>
      <w:r w:rsidR="001E14DE">
        <w:rPr>
          <w:b/>
          <w:szCs w:val="24"/>
        </w:rPr>
        <w:t>6</w:t>
      </w:r>
      <w:r w:rsidRPr="005053B8">
        <w:rPr>
          <w:b/>
          <w:szCs w:val="24"/>
        </w:rPr>
        <w:t xml:space="preserve">: </w:t>
      </w:r>
      <w:r w:rsidR="005E62A8" w:rsidRPr="008405FA">
        <w:rPr>
          <w:szCs w:val="24"/>
        </w:rPr>
        <w:t>example of a best/worst case scenario</w:t>
      </w:r>
      <w:r w:rsidR="005E62A8">
        <w:rPr>
          <w:szCs w:val="24"/>
        </w:rPr>
        <w:t xml:space="preserve"> when BPs </w:t>
      </w:r>
      <w:r w:rsidR="007A50C9">
        <w:rPr>
          <w:szCs w:val="24"/>
        </w:rPr>
        <w:t xml:space="preserve">includes </w:t>
      </w:r>
      <w:r w:rsidR="007A50C9" w:rsidRPr="007A50C9">
        <w:rPr>
          <w:szCs w:val="24"/>
        </w:rPr>
        <w:t>concentrates and RTU products</w:t>
      </w:r>
    </w:p>
    <w:p w14:paraId="52DBBA4F" w14:textId="77777777" w:rsidR="008F6EA3" w:rsidRDefault="008F6EA3" w:rsidP="005053B8">
      <w:pPr>
        <w:spacing w:before="120"/>
        <w:rPr>
          <w:b/>
        </w:rPr>
        <w:sectPr w:rsidR="008F6EA3">
          <w:pgSz w:w="11906" w:h="16838"/>
          <w:pgMar w:top="1020" w:right="1701" w:bottom="1020" w:left="1587" w:header="601" w:footer="1077" w:gutter="0"/>
          <w:cols w:space="720"/>
          <w:titlePg/>
          <w:docGrid w:linePitch="326"/>
        </w:sectPr>
      </w:pPr>
    </w:p>
    <w:p w14:paraId="5287447C" w14:textId="77777777" w:rsidR="008F6BAB" w:rsidRDefault="008F6BAB" w:rsidP="008F6BAB">
      <w:pPr>
        <w:pStyle w:val="Heading1"/>
        <w:numPr>
          <w:ilvl w:val="0"/>
          <w:numId w:val="0"/>
        </w:numPr>
        <w:spacing w:before="0"/>
        <w:ind w:left="482" w:hanging="482"/>
      </w:pPr>
      <w:r>
        <w:lastRenderedPageBreak/>
        <w:t xml:space="preserve">Example regarding one consistent </w:t>
      </w:r>
      <w:r w:rsidRPr="00FF0873">
        <w:t>set of RMMs for a use</w:t>
      </w:r>
    </w:p>
    <w:p w14:paraId="2A5B3672" w14:textId="77777777" w:rsidR="008F6EA3" w:rsidRPr="008F6EA3" w:rsidRDefault="008F6EA3" w:rsidP="008F6EA3">
      <w:r w:rsidRPr="008F6EA3">
        <w:t xml:space="preserve">After having identified a </w:t>
      </w:r>
      <w:r w:rsidR="00194055" w:rsidRPr="008F6EA3">
        <w:t>worst-case</w:t>
      </w:r>
      <w:r w:rsidRPr="008F6EA3">
        <w:t xml:space="preserve"> composition every use is assessed. When assessing the uses the different parameters defining the use are taken into account. Every use must have one consistent set of RMMs. However, these can be use specific and differ from use to use.</w:t>
      </w:r>
    </w:p>
    <w:p w14:paraId="08446E63" w14:textId="77777777" w:rsidR="008F6EA3" w:rsidRDefault="008F6EA3" w:rsidP="008F6BAB">
      <w:pPr>
        <w:spacing w:after="0"/>
      </w:pPr>
      <w:r w:rsidRPr="008F6EA3">
        <w:rPr>
          <w:b/>
          <w:u w:val="single"/>
        </w:rPr>
        <w:t>Example 3.1</w:t>
      </w:r>
      <w:r w:rsidRPr="008F6EA3">
        <w:rPr>
          <w:b/>
        </w:rPr>
        <w:t xml:space="preserve"> – Two uses with different </w:t>
      </w:r>
      <w:r w:rsidRPr="008F6EA3">
        <w:rPr>
          <w:b/>
          <w:u w:val="single"/>
        </w:rPr>
        <w:t>application methods</w:t>
      </w:r>
      <w:r w:rsidRPr="008F6EA3">
        <w:rPr>
          <w:b/>
        </w:rPr>
        <w:t>.</w:t>
      </w:r>
      <w:r w:rsidRPr="008F6EA3">
        <w:t xml:space="preserve"> – </w:t>
      </w:r>
      <w:r w:rsidRPr="008F6EA3">
        <w:rPr>
          <w:u w:val="single"/>
        </w:rPr>
        <w:t>Each</w:t>
      </w:r>
      <w:r w:rsidRPr="008F6EA3">
        <w:t xml:space="preserve"> use having one set of consistent RMMs. Therefore, both uses can be part of one BPF.</w:t>
      </w:r>
    </w:p>
    <w:p w14:paraId="444B7D91" w14:textId="77777777" w:rsidR="008F6EA3" w:rsidRPr="004E397E" w:rsidRDefault="008F6EA3" w:rsidP="008F6EA3">
      <w:pPr>
        <w:rPr>
          <w:b/>
        </w:rPr>
      </w:pPr>
      <w:r w:rsidRPr="006472C9">
        <w:rPr>
          <w:b/>
        </w:rPr>
        <w:t>Use#1 – Brush application</w:t>
      </w:r>
      <w:r>
        <w:tab/>
      </w:r>
      <w:r>
        <w:tab/>
      </w:r>
      <w:r>
        <w:tab/>
      </w:r>
      <w:r>
        <w:tab/>
      </w:r>
      <w:r>
        <w:tab/>
      </w:r>
      <w:r>
        <w:tab/>
      </w:r>
      <w:r>
        <w:tab/>
      </w:r>
      <w:r w:rsidRPr="004E397E">
        <w:rPr>
          <w:b/>
        </w:rPr>
        <w:t>Use #2 – Spray application</w:t>
      </w:r>
    </w:p>
    <w:tbl>
      <w:tblPr>
        <w:tblpPr w:leftFromText="141" w:rightFromText="141" w:vertAnchor="text" w:tblpX="45" w:tblpY="1"/>
        <w:tblOverlap w:val="never"/>
        <w:tblW w:w="5710" w:type="dxa"/>
        <w:tblLayout w:type="fixed"/>
        <w:tblCellMar>
          <w:left w:w="0" w:type="dxa"/>
          <w:right w:w="0" w:type="dxa"/>
        </w:tblCellMar>
        <w:tblLook w:val="0000" w:firstRow="0" w:lastRow="0" w:firstColumn="0" w:lastColumn="0" w:noHBand="0" w:noVBand="0"/>
      </w:tblPr>
      <w:tblGrid>
        <w:gridCol w:w="2707"/>
        <w:gridCol w:w="3003"/>
      </w:tblGrid>
      <w:tr w:rsidR="004E397E" w:rsidRPr="00845A73" w14:paraId="2AE62BBD" w14:textId="77777777" w:rsidTr="002472E2">
        <w:tc>
          <w:tcPr>
            <w:tcW w:w="270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1F1D06F5" w14:textId="77777777" w:rsidR="004E397E" w:rsidRPr="004E397E" w:rsidRDefault="004E397E" w:rsidP="0087212A">
            <w:pPr>
              <w:rPr>
                <w:b/>
                <w:sz w:val="20"/>
              </w:rPr>
            </w:pPr>
            <w:r w:rsidRPr="004E397E">
              <w:rPr>
                <w:b/>
                <w:color w:val="000000"/>
                <w:sz w:val="20"/>
              </w:rPr>
              <w:t>Product Type</w:t>
            </w:r>
          </w:p>
        </w:tc>
        <w:tc>
          <w:tcPr>
            <w:tcW w:w="3003"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37A0B255" w14:textId="77777777" w:rsidR="004E397E" w:rsidRPr="004E397E" w:rsidRDefault="004E397E" w:rsidP="0087212A">
            <w:pPr>
              <w:rPr>
                <w:sz w:val="20"/>
              </w:rPr>
            </w:pPr>
            <w:r w:rsidRPr="004E397E">
              <w:rPr>
                <w:sz w:val="20"/>
              </w:rPr>
              <w:t>8</w:t>
            </w:r>
          </w:p>
        </w:tc>
      </w:tr>
      <w:tr w:rsidR="004E397E" w:rsidRPr="00845A73" w14:paraId="6B6C866B" w14:textId="77777777" w:rsidTr="002472E2">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5B28C8BA" w14:textId="77777777" w:rsidR="004E397E" w:rsidRPr="004E397E" w:rsidRDefault="004E397E" w:rsidP="0087212A">
            <w:pPr>
              <w:rPr>
                <w:b/>
                <w:sz w:val="20"/>
              </w:rPr>
            </w:pPr>
            <w:r w:rsidRPr="004E397E">
              <w:rPr>
                <w:b/>
                <w:color w:val="000000"/>
                <w:sz w:val="20"/>
              </w:rPr>
              <w:t>Where relevant, an exact description of the authorised use</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46A963F5" w14:textId="77777777" w:rsidR="004E397E" w:rsidRPr="004E397E" w:rsidRDefault="002472E2" w:rsidP="002472E2">
            <w:pPr>
              <w:ind w:right="2186"/>
              <w:rPr>
                <w:sz w:val="20"/>
              </w:rPr>
            </w:pPr>
            <w:r>
              <w:rPr>
                <w:sz w:val="20"/>
              </w:rPr>
              <w:t>Not relevant</w:t>
            </w:r>
          </w:p>
        </w:tc>
      </w:tr>
      <w:tr w:rsidR="004E397E" w:rsidRPr="00845A73" w14:paraId="11CD8ED7" w14:textId="77777777" w:rsidTr="002472E2">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3D6D9D99" w14:textId="77777777" w:rsidR="004E397E" w:rsidRPr="004E397E" w:rsidRDefault="004E397E" w:rsidP="0087212A">
            <w:pPr>
              <w:rPr>
                <w:b/>
                <w:sz w:val="20"/>
              </w:rPr>
            </w:pPr>
            <w:r w:rsidRPr="004E397E">
              <w:rPr>
                <w:b/>
                <w:color w:val="000000"/>
                <w:sz w:val="20"/>
              </w:rPr>
              <w:t>Target organism(s) (including development stage)</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3143D19F" w14:textId="77777777" w:rsidR="004E397E" w:rsidRPr="004E397E" w:rsidRDefault="004E397E" w:rsidP="0087212A">
            <w:pPr>
              <w:spacing w:before="200"/>
              <w:rPr>
                <w:sz w:val="20"/>
              </w:rPr>
            </w:pPr>
            <w:r w:rsidRPr="004E397E">
              <w:rPr>
                <w:sz w:val="20"/>
              </w:rPr>
              <w:t>a, b, c</w:t>
            </w:r>
          </w:p>
        </w:tc>
      </w:tr>
      <w:tr w:rsidR="004E397E" w:rsidRPr="00845A73" w14:paraId="6F1A60C5" w14:textId="77777777" w:rsidTr="002472E2">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15ED8BED" w14:textId="77777777" w:rsidR="004E397E" w:rsidRPr="004E397E" w:rsidRDefault="004E397E" w:rsidP="0087212A">
            <w:pPr>
              <w:rPr>
                <w:b/>
                <w:sz w:val="20"/>
              </w:rPr>
            </w:pPr>
            <w:r w:rsidRPr="004E397E">
              <w:rPr>
                <w:b/>
                <w:color w:val="000000"/>
                <w:sz w:val="20"/>
              </w:rPr>
              <w:t>Field(s) of use</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551DB0F4" w14:textId="77777777" w:rsidR="004E397E" w:rsidRPr="004E397E" w:rsidRDefault="004E397E" w:rsidP="0087212A">
            <w:pPr>
              <w:rPr>
                <w:sz w:val="20"/>
              </w:rPr>
            </w:pPr>
            <w:r w:rsidRPr="004E397E">
              <w:rPr>
                <w:sz w:val="20"/>
              </w:rPr>
              <w:t>A</w:t>
            </w:r>
          </w:p>
        </w:tc>
      </w:tr>
      <w:tr w:rsidR="004E397E" w:rsidRPr="00845A73" w14:paraId="04D228C8" w14:textId="77777777" w:rsidTr="002472E2">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61FF677E" w14:textId="77777777" w:rsidR="004E397E" w:rsidRPr="004E397E" w:rsidRDefault="004E397E" w:rsidP="0087212A">
            <w:pPr>
              <w:rPr>
                <w:b/>
                <w:sz w:val="20"/>
              </w:rPr>
            </w:pPr>
            <w:r w:rsidRPr="004E397E">
              <w:rPr>
                <w:b/>
                <w:color w:val="000000"/>
                <w:sz w:val="20"/>
              </w:rPr>
              <w:t>Application method(s)</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1E32256A" w14:textId="77777777" w:rsidR="004E397E" w:rsidRPr="004E397E" w:rsidRDefault="004E397E" w:rsidP="0087212A">
            <w:pPr>
              <w:rPr>
                <w:sz w:val="20"/>
              </w:rPr>
            </w:pPr>
            <w:r w:rsidRPr="004E397E">
              <w:rPr>
                <w:color w:val="FF0000"/>
                <w:sz w:val="20"/>
              </w:rPr>
              <w:t>Brushing</w:t>
            </w:r>
          </w:p>
        </w:tc>
      </w:tr>
      <w:tr w:rsidR="004E397E" w:rsidRPr="00845A73" w14:paraId="64E189F8" w14:textId="77777777" w:rsidTr="002472E2">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0D7328E5" w14:textId="77777777" w:rsidR="004E397E" w:rsidRPr="004E397E" w:rsidRDefault="004E397E" w:rsidP="0087212A">
            <w:pPr>
              <w:rPr>
                <w:b/>
                <w:sz w:val="20"/>
              </w:rPr>
            </w:pPr>
            <w:r w:rsidRPr="004E397E">
              <w:rPr>
                <w:b/>
                <w:color w:val="000000"/>
                <w:sz w:val="20"/>
              </w:rPr>
              <w:t>Application rate(s) and frequency</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15F4A16D" w14:textId="77777777" w:rsidR="004E397E" w:rsidRPr="004E397E" w:rsidRDefault="004E397E" w:rsidP="0087212A">
            <w:pPr>
              <w:rPr>
                <w:sz w:val="20"/>
              </w:rPr>
            </w:pPr>
            <w:r w:rsidRPr="004E397E">
              <w:rPr>
                <w:sz w:val="20"/>
              </w:rPr>
              <w:t>100 mL / m</w:t>
            </w:r>
            <w:r w:rsidRPr="004E397E">
              <w:rPr>
                <w:sz w:val="20"/>
                <w:vertAlign w:val="superscript"/>
              </w:rPr>
              <w:t>2</w:t>
            </w:r>
          </w:p>
        </w:tc>
      </w:tr>
      <w:tr w:rsidR="004E397E" w:rsidRPr="00845A73" w14:paraId="107CFC85" w14:textId="77777777" w:rsidTr="002472E2">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3B76D1DA" w14:textId="77777777" w:rsidR="004E397E" w:rsidRPr="004E397E" w:rsidRDefault="004E397E" w:rsidP="0087212A">
            <w:pPr>
              <w:rPr>
                <w:b/>
                <w:sz w:val="20"/>
              </w:rPr>
            </w:pPr>
            <w:r w:rsidRPr="004E397E">
              <w:rPr>
                <w:b/>
                <w:color w:val="000000"/>
                <w:sz w:val="20"/>
              </w:rPr>
              <w:t>Category(ies) of users</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585D5B1B" w14:textId="77777777" w:rsidR="004E397E" w:rsidRPr="004E397E" w:rsidRDefault="004E397E" w:rsidP="0087212A">
            <w:pPr>
              <w:rPr>
                <w:sz w:val="20"/>
              </w:rPr>
            </w:pPr>
            <w:r w:rsidRPr="004E397E">
              <w:rPr>
                <w:sz w:val="20"/>
              </w:rPr>
              <w:t>Prof</w:t>
            </w:r>
          </w:p>
        </w:tc>
      </w:tr>
      <w:tr w:rsidR="004E397E" w:rsidRPr="00845A73" w14:paraId="0EDE9823" w14:textId="77777777" w:rsidTr="002472E2">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25F02866" w14:textId="77777777" w:rsidR="004E397E" w:rsidRPr="004E397E" w:rsidRDefault="004E397E" w:rsidP="0087212A">
            <w:pPr>
              <w:rPr>
                <w:b/>
                <w:sz w:val="20"/>
              </w:rPr>
            </w:pPr>
            <w:r w:rsidRPr="004E397E">
              <w:rPr>
                <w:b/>
                <w:color w:val="000000"/>
                <w:sz w:val="20"/>
              </w:rPr>
              <w:t>Pack sizes and packaging material</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094A9FBC" w14:textId="77777777" w:rsidR="004E397E" w:rsidRPr="004E397E" w:rsidRDefault="004E397E" w:rsidP="0087212A">
            <w:pPr>
              <w:rPr>
                <w:sz w:val="20"/>
              </w:rPr>
            </w:pPr>
            <w:r w:rsidRPr="004E397E">
              <w:rPr>
                <w:sz w:val="20"/>
              </w:rPr>
              <w:t>1, 2, 3</w:t>
            </w:r>
          </w:p>
        </w:tc>
      </w:tr>
    </w:tbl>
    <w:tbl>
      <w:tblPr>
        <w:tblStyle w:val="TableGrid"/>
        <w:tblpPr w:leftFromText="141" w:rightFromText="141" w:vertAnchor="text" w:horzAnchor="page" w:tblpX="8394" w:tblpY="61"/>
        <w:tblW w:w="0" w:type="auto"/>
        <w:tblLook w:val="04A0" w:firstRow="1" w:lastRow="0" w:firstColumn="1" w:lastColumn="0" w:noHBand="0" w:noVBand="1"/>
      </w:tblPr>
      <w:tblGrid>
        <w:gridCol w:w="2802"/>
        <w:gridCol w:w="3260"/>
      </w:tblGrid>
      <w:tr w:rsidR="004E397E" w14:paraId="2C8E9CAD" w14:textId="77777777" w:rsidTr="004E397E">
        <w:tc>
          <w:tcPr>
            <w:tcW w:w="2802" w:type="dxa"/>
          </w:tcPr>
          <w:p w14:paraId="0C7F29F8" w14:textId="77777777" w:rsidR="004E397E" w:rsidRPr="004E397E" w:rsidRDefault="004E397E" w:rsidP="004E397E">
            <w:pPr>
              <w:rPr>
                <w:rFonts w:ascii="Times New Roman" w:hAnsi="Times New Roman"/>
                <w:b/>
              </w:rPr>
            </w:pPr>
            <w:r w:rsidRPr="004E397E">
              <w:rPr>
                <w:rFonts w:ascii="Times New Roman" w:hAnsi="Times New Roman"/>
                <w:b/>
              </w:rPr>
              <w:t>Product Type</w:t>
            </w:r>
          </w:p>
        </w:tc>
        <w:tc>
          <w:tcPr>
            <w:tcW w:w="3260" w:type="dxa"/>
          </w:tcPr>
          <w:p w14:paraId="0579CBDD" w14:textId="77777777" w:rsidR="004E397E" w:rsidRPr="004E397E" w:rsidRDefault="002472E2" w:rsidP="004E397E">
            <w:pPr>
              <w:rPr>
                <w:rFonts w:ascii="Times New Roman" w:hAnsi="Times New Roman"/>
              </w:rPr>
            </w:pPr>
            <w:r>
              <w:rPr>
                <w:rFonts w:ascii="Times New Roman" w:hAnsi="Times New Roman"/>
              </w:rPr>
              <w:t>8</w:t>
            </w:r>
          </w:p>
        </w:tc>
      </w:tr>
      <w:tr w:rsidR="004E397E" w14:paraId="172D37A7" w14:textId="77777777" w:rsidTr="002472E2">
        <w:trPr>
          <w:trHeight w:val="1075"/>
        </w:trPr>
        <w:tc>
          <w:tcPr>
            <w:tcW w:w="2802" w:type="dxa"/>
          </w:tcPr>
          <w:p w14:paraId="761D65F2" w14:textId="77777777" w:rsidR="004E397E" w:rsidRPr="004E397E" w:rsidRDefault="004E397E" w:rsidP="004E397E">
            <w:pPr>
              <w:rPr>
                <w:rFonts w:ascii="Times New Roman" w:hAnsi="Times New Roman"/>
                <w:b/>
              </w:rPr>
            </w:pPr>
            <w:r w:rsidRPr="004E397E">
              <w:rPr>
                <w:rFonts w:ascii="Times New Roman" w:hAnsi="Times New Roman"/>
                <w:b/>
              </w:rPr>
              <w:t>Where relevant an exact description of the authorised use</w:t>
            </w:r>
          </w:p>
        </w:tc>
        <w:tc>
          <w:tcPr>
            <w:tcW w:w="3260" w:type="dxa"/>
          </w:tcPr>
          <w:p w14:paraId="60DCF198" w14:textId="77777777" w:rsidR="004E397E" w:rsidRPr="004E397E" w:rsidRDefault="002472E2" w:rsidP="004E397E">
            <w:pPr>
              <w:rPr>
                <w:rFonts w:ascii="Times New Roman" w:hAnsi="Times New Roman"/>
              </w:rPr>
            </w:pPr>
            <w:r>
              <w:rPr>
                <w:rFonts w:ascii="Times New Roman" w:hAnsi="Times New Roman"/>
              </w:rPr>
              <w:t xml:space="preserve">Not relevant </w:t>
            </w:r>
          </w:p>
        </w:tc>
      </w:tr>
      <w:tr w:rsidR="004E397E" w14:paraId="668FF3D8" w14:textId="77777777" w:rsidTr="0087212A">
        <w:tc>
          <w:tcPr>
            <w:tcW w:w="2802" w:type="dxa"/>
            <w:tcBorders>
              <w:top w:val="nil"/>
              <w:left w:val="single" w:sz="4" w:space="0" w:color="000000"/>
              <w:bottom w:val="single" w:sz="4" w:space="0" w:color="000000"/>
              <w:right w:val="single" w:sz="4" w:space="0" w:color="000000"/>
            </w:tcBorders>
          </w:tcPr>
          <w:p w14:paraId="3CBCB691" w14:textId="77777777" w:rsidR="004E397E" w:rsidRPr="004E397E" w:rsidRDefault="004E397E" w:rsidP="004E397E">
            <w:pPr>
              <w:rPr>
                <w:rFonts w:ascii="Times New Roman" w:hAnsi="Times New Roman"/>
              </w:rPr>
            </w:pPr>
            <w:r w:rsidRPr="004E397E">
              <w:rPr>
                <w:rFonts w:ascii="Times New Roman" w:hAnsi="Times New Roman"/>
                <w:b/>
                <w:color w:val="000000"/>
              </w:rPr>
              <w:t>Target organism(s) (including development stage)</w:t>
            </w:r>
          </w:p>
        </w:tc>
        <w:tc>
          <w:tcPr>
            <w:tcW w:w="3260" w:type="dxa"/>
          </w:tcPr>
          <w:p w14:paraId="2EB4BBA8" w14:textId="77777777" w:rsidR="004E397E" w:rsidRPr="004E397E" w:rsidRDefault="002472E2" w:rsidP="002472E2">
            <w:pPr>
              <w:rPr>
                <w:rFonts w:ascii="Times New Roman" w:hAnsi="Times New Roman"/>
              </w:rPr>
            </w:pPr>
            <w:r>
              <w:rPr>
                <w:rFonts w:ascii="Times New Roman" w:hAnsi="Times New Roman"/>
              </w:rPr>
              <w:t>a,b,c</w:t>
            </w:r>
          </w:p>
        </w:tc>
      </w:tr>
      <w:tr w:rsidR="004E397E" w14:paraId="10D3CB7C" w14:textId="77777777" w:rsidTr="002472E2">
        <w:trPr>
          <w:trHeight w:val="561"/>
        </w:trPr>
        <w:tc>
          <w:tcPr>
            <w:tcW w:w="2802" w:type="dxa"/>
            <w:tcBorders>
              <w:top w:val="nil"/>
              <w:left w:val="single" w:sz="4" w:space="0" w:color="000000"/>
              <w:bottom w:val="single" w:sz="4" w:space="0" w:color="000000"/>
              <w:right w:val="single" w:sz="4" w:space="0" w:color="000000"/>
            </w:tcBorders>
          </w:tcPr>
          <w:p w14:paraId="3B8AA12D" w14:textId="77777777" w:rsidR="004E397E" w:rsidRPr="004E397E" w:rsidRDefault="004E397E" w:rsidP="004E397E">
            <w:pPr>
              <w:rPr>
                <w:rFonts w:ascii="Times New Roman" w:hAnsi="Times New Roman"/>
              </w:rPr>
            </w:pPr>
            <w:r w:rsidRPr="004E397E">
              <w:rPr>
                <w:rFonts w:ascii="Times New Roman" w:hAnsi="Times New Roman"/>
                <w:b/>
                <w:color w:val="000000"/>
              </w:rPr>
              <w:t>Field(s) of use</w:t>
            </w:r>
          </w:p>
        </w:tc>
        <w:tc>
          <w:tcPr>
            <w:tcW w:w="3260" w:type="dxa"/>
          </w:tcPr>
          <w:p w14:paraId="505610EA" w14:textId="77777777" w:rsidR="004E397E" w:rsidRPr="004E397E" w:rsidRDefault="002472E2" w:rsidP="004E397E">
            <w:pPr>
              <w:rPr>
                <w:rFonts w:ascii="Times New Roman" w:hAnsi="Times New Roman"/>
              </w:rPr>
            </w:pPr>
            <w:r>
              <w:rPr>
                <w:rFonts w:ascii="Times New Roman" w:hAnsi="Times New Roman"/>
              </w:rPr>
              <w:t>A</w:t>
            </w:r>
          </w:p>
        </w:tc>
      </w:tr>
      <w:tr w:rsidR="004E397E" w14:paraId="1D51F6DB" w14:textId="77777777" w:rsidTr="002472E2">
        <w:trPr>
          <w:trHeight w:val="541"/>
        </w:trPr>
        <w:tc>
          <w:tcPr>
            <w:tcW w:w="2802" w:type="dxa"/>
            <w:tcBorders>
              <w:top w:val="nil"/>
              <w:left w:val="single" w:sz="4" w:space="0" w:color="000000"/>
              <w:bottom w:val="single" w:sz="4" w:space="0" w:color="000000"/>
              <w:right w:val="single" w:sz="4" w:space="0" w:color="000000"/>
            </w:tcBorders>
          </w:tcPr>
          <w:p w14:paraId="28320BCC" w14:textId="77777777" w:rsidR="004E397E" w:rsidRPr="004E397E" w:rsidRDefault="004E397E" w:rsidP="004E397E">
            <w:pPr>
              <w:rPr>
                <w:rFonts w:ascii="Times New Roman" w:hAnsi="Times New Roman"/>
              </w:rPr>
            </w:pPr>
            <w:r w:rsidRPr="004E397E">
              <w:rPr>
                <w:rFonts w:ascii="Times New Roman" w:hAnsi="Times New Roman"/>
                <w:b/>
                <w:color w:val="000000"/>
              </w:rPr>
              <w:t>Application method(s)</w:t>
            </w:r>
          </w:p>
        </w:tc>
        <w:tc>
          <w:tcPr>
            <w:tcW w:w="3260" w:type="dxa"/>
          </w:tcPr>
          <w:p w14:paraId="22FB49FB" w14:textId="77777777" w:rsidR="004E397E" w:rsidRPr="004E397E" w:rsidRDefault="002472E2" w:rsidP="004E397E">
            <w:pPr>
              <w:rPr>
                <w:rFonts w:ascii="Times New Roman" w:hAnsi="Times New Roman"/>
              </w:rPr>
            </w:pPr>
            <w:r w:rsidRPr="002472E2">
              <w:rPr>
                <w:rFonts w:ascii="Times New Roman" w:hAnsi="Times New Roman"/>
                <w:color w:val="FF0000"/>
              </w:rPr>
              <w:t>Spraying</w:t>
            </w:r>
          </w:p>
        </w:tc>
      </w:tr>
      <w:tr w:rsidR="004E397E" w14:paraId="130C39BB" w14:textId="77777777" w:rsidTr="0087212A">
        <w:tc>
          <w:tcPr>
            <w:tcW w:w="2802" w:type="dxa"/>
            <w:tcBorders>
              <w:top w:val="nil"/>
              <w:left w:val="single" w:sz="4" w:space="0" w:color="000000"/>
              <w:bottom w:val="single" w:sz="4" w:space="0" w:color="000000"/>
              <w:right w:val="single" w:sz="4" w:space="0" w:color="000000"/>
            </w:tcBorders>
          </w:tcPr>
          <w:p w14:paraId="6C77ECC6" w14:textId="77777777" w:rsidR="004E397E" w:rsidRPr="004E397E" w:rsidRDefault="004E397E" w:rsidP="004E397E">
            <w:pPr>
              <w:rPr>
                <w:rFonts w:ascii="Times New Roman" w:hAnsi="Times New Roman"/>
              </w:rPr>
            </w:pPr>
            <w:r w:rsidRPr="004E397E">
              <w:rPr>
                <w:rFonts w:ascii="Times New Roman" w:hAnsi="Times New Roman"/>
                <w:b/>
                <w:color w:val="000000"/>
              </w:rPr>
              <w:t>Application rate(s) and frequency</w:t>
            </w:r>
          </w:p>
        </w:tc>
        <w:tc>
          <w:tcPr>
            <w:tcW w:w="3260" w:type="dxa"/>
          </w:tcPr>
          <w:p w14:paraId="4FC35121" w14:textId="77777777" w:rsidR="004E397E" w:rsidRPr="004E397E" w:rsidRDefault="002472E2" w:rsidP="004E397E">
            <w:pPr>
              <w:rPr>
                <w:rFonts w:ascii="Times New Roman" w:hAnsi="Times New Roman"/>
              </w:rPr>
            </w:pPr>
            <w:r>
              <w:rPr>
                <w:rFonts w:ascii="Times New Roman" w:hAnsi="Times New Roman"/>
              </w:rPr>
              <w:t>100 mL/m²</w:t>
            </w:r>
          </w:p>
        </w:tc>
      </w:tr>
      <w:tr w:rsidR="004E397E" w14:paraId="301FBA2D" w14:textId="77777777" w:rsidTr="002472E2">
        <w:trPr>
          <w:trHeight w:val="558"/>
        </w:trPr>
        <w:tc>
          <w:tcPr>
            <w:tcW w:w="2802" w:type="dxa"/>
            <w:tcBorders>
              <w:top w:val="nil"/>
              <w:left w:val="single" w:sz="4" w:space="0" w:color="000000"/>
              <w:bottom w:val="single" w:sz="4" w:space="0" w:color="000000"/>
              <w:right w:val="single" w:sz="4" w:space="0" w:color="000000"/>
            </w:tcBorders>
          </w:tcPr>
          <w:p w14:paraId="570F6D22" w14:textId="77777777" w:rsidR="004E397E" w:rsidRPr="004E397E" w:rsidRDefault="004E397E" w:rsidP="004E397E">
            <w:pPr>
              <w:rPr>
                <w:rFonts w:ascii="Times New Roman" w:hAnsi="Times New Roman"/>
              </w:rPr>
            </w:pPr>
            <w:r w:rsidRPr="004E397E">
              <w:rPr>
                <w:rFonts w:ascii="Times New Roman" w:hAnsi="Times New Roman"/>
                <w:b/>
                <w:color w:val="000000"/>
              </w:rPr>
              <w:t>Category(ies) of users</w:t>
            </w:r>
          </w:p>
        </w:tc>
        <w:tc>
          <w:tcPr>
            <w:tcW w:w="3260" w:type="dxa"/>
          </w:tcPr>
          <w:p w14:paraId="05DAA605" w14:textId="77777777" w:rsidR="004E397E" w:rsidRPr="004E397E" w:rsidRDefault="002472E2" w:rsidP="004E397E">
            <w:pPr>
              <w:rPr>
                <w:rFonts w:ascii="Times New Roman" w:hAnsi="Times New Roman"/>
              </w:rPr>
            </w:pPr>
            <w:r>
              <w:rPr>
                <w:rFonts w:ascii="Times New Roman" w:hAnsi="Times New Roman"/>
              </w:rPr>
              <w:t>Prof</w:t>
            </w:r>
          </w:p>
        </w:tc>
      </w:tr>
      <w:tr w:rsidR="004E397E" w14:paraId="314DD6CE" w14:textId="77777777" w:rsidTr="002472E2">
        <w:trPr>
          <w:trHeight w:val="850"/>
        </w:trPr>
        <w:tc>
          <w:tcPr>
            <w:tcW w:w="2802" w:type="dxa"/>
            <w:tcBorders>
              <w:top w:val="nil"/>
              <w:left w:val="single" w:sz="4" w:space="0" w:color="000000"/>
              <w:bottom w:val="single" w:sz="4" w:space="0" w:color="000000"/>
              <w:right w:val="single" w:sz="4" w:space="0" w:color="000000"/>
            </w:tcBorders>
          </w:tcPr>
          <w:p w14:paraId="4C361834" w14:textId="77777777" w:rsidR="004E397E" w:rsidRPr="004E397E" w:rsidRDefault="004E397E" w:rsidP="004E397E">
            <w:pPr>
              <w:rPr>
                <w:rFonts w:ascii="Times New Roman" w:hAnsi="Times New Roman"/>
              </w:rPr>
            </w:pPr>
            <w:r w:rsidRPr="004E397E">
              <w:rPr>
                <w:rFonts w:ascii="Times New Roman" w:hAnsi="Times New Roman"/>
                <w:b/>
                <w:color w:val="000000"/>
              </w:rPr>
              <w:t>Pack sizes and packaging material</w:t>
            </w:r>
          </w:p>
        </w:tc>
        <w:tc>
          <w:tcPr>
            <w:tcW w:w="3260" w:type="dxa"/>
          </w:tcPr>
          <w:p w14:paraId="524B6426" w14:textId="77777777" w:rsidR="004E397E" w:rsidRPr="004E397E" w:rsidRDefault="002472E2" w:rsidP="004E397E">
            <w:pPr>
              <w:rPr>
                <w:rFonts w:ascii="Times New Roman" w:hAnsi="Times New Roman"/>
              </w:rPr>
            </w:pPr>
            <w:r>
              <w:rPr>
                <w:rFonts w:ascii="Times New Roman" w:hAnsi="Times New Roman"/>
              </w:rPr>
              <w:t>1,2,3</w:t>
            </w:r>
          </w:p>
        </w:tc>
      </w:tr>
    </w:tbl>
    <w:p w14:paraId="12365DE0" w14:textId="77777777" w:rsidR="004E397E" w:rsidRPr="00AD3351" w:rsidRDefault="004E397E" w:rsidP="005E2FE7">
      <w:r>
        <w:tab/>
      </w:r>
    </w:p>
    <w:p w14:paraId="4ABC2753" w14:textId="77777777" w:rsidR="00194055" w:rsidRDefault="00194055" w:rsidP="005E2FE7"/>
    <w:p w14:paraId="2F3D89E6" w14:textId="77777777" w:rsidR="00194055" w:rsidRPr="00194055" w:rsidRDefault="00194055" w:rsidP="00194055"/>
    <w:p w14:paraId="66E001DC" w14:textId="77777777" w:rsidR="00194055" w:rsidRPr="00194055" w:rsidRDefault="00194055" w:rsidP="00194055"/>
    <w:p w14:paraId="3AB455CD" w14:textId="77777777" w:rsidR="00194055" w:rsidRPr="00194055" w:rsidRDefault="00194055" w:rsidP="00194055"/>
    <w:p w14:paraId="334C5D22" w14:textId="77777777" w:rsidR="00194055" w:rsidRPr="00194055" w:rsidRDefault="00194055" w:rsidP="00194055"/>
    <w:p w14:paraId="139DBC05" w14:textId="77777777" w:rsidR="00194055" w:rsidRPr="00194055" w:rsidRDefault="00194055" w:rsidP="00194055"/>
    <w:p w14:paraId="2542B70D" w14:textId="77777777" w:rsidR="00194055" w:rsidRPr="00194055" w:rsidRDefault="00194055" w:rsidP="00194055"/>
    <w:p w14:paraId="0B754026" w14:textId="77777777" w:rsidR="00194055" w:rsidRPr="00194055" w:rsidRDefault="00194055" w:rsidP="00194055"/>
    <w:p w14:paraId="2C2A9DCA" w14:textId="77777777" w:rsidR="00194055" w:rsidRPr="00194055" w:rsidRDefault="00194055" w:rsidP="00194055"/>
    <w:p w14:paraId="79F419C2" w14:textId="77777777" w:rsidR="00194055" w:rsidRDefault="00194055" w:rsidP="00194055"/>
    <w:p w14:paraId="248D1D57" w14:textId="77777777" w:rsidR="00194055" w:rsidRDefault="00194055" w:rsidP="008F6BAB">
      <w:pPr>
        <w:tabs>
          <w:tab w:val="center" w:pos="7399"/>
        </w:tabs>
      </w:pPr>
      <w:r>
        <w:t>RMMs: no PPE necessary</w:t>
      </w:r>
      <w:r>
        <w:tab/>
        <w:t xml:space="preserve">                               RMMs: PPE necessary</w:t>
      </w:r>
    </w:p>
    <w:p w14:paraId="54AB61CE" w14:textId="77777777" w:rsidR="00194055" w:rsidRPr="00194055" w:rsidRDefault="00194055" w:rsidP="00194055">
      <w:pPr>
        <w:sectPr w:rsidR="00194055" w:rsidRPr="00194055" w:rsidSect="008F6EA3">
          <w:type w:val="continuous"/>
          <w:pgSz w:w="16838" w:h="11906" w:orient="landscape"/>
          <w:pgMar w:top="1587" w:right="1020" w:bottom="1701" w:left="1020" w:header="601" w:footer="1077" w:gutter="0"/>
          <w:cols w:space="720"/>
          <w:titlePg/>
          <w:docGrid w:linePitch="326"/>
        </w:sectPr>
      </w:pPr>
    </w:p>
    <w:p w14:paraId="4DD3F573" w14:textId="77777777" w:rsidR="00AD3351" w:rsidRDefault="00CA57D8" w:rsidP="00194055">
      <w:r w:rsidRPr="00CA57D8">
        <w:rPr>
          <w:b/>
          <w:u w:val="single"/>
        </w:rPr>
        <w:lastRenderedPageBreak/>
        <w:t>Example 3.2</w:t>
      </w:r>
      <w:r w:rsidRPr="00CA57D8">
        <w:rPr>
          <w:b/>
        </w:rPr>
        <w:t xml:space="preserve"> – Two uses with different in use concentrations</w:t>
      </w:r>
      <w:r>
        <w:t xml:space="preserve">. </w:t>
      </w:r>
      <w:r w:rsidRPr="00CA57D8">
        <w:rPr>
          <w:u w:val="single"/>
        </w:rPr>
        <w:t>Each</w:t>
      </w:r>
      <w:r>
        <w:t xml:space="preserve"> use having one set of consistent RMMs. Therefore, both uses can be part of one BPF.</w:t>
      </w:r>
    </w:p>
    <w:p w14:paraId="577C1FE8" w14:textId="77777777" w:rsidR="00AF2CA2" w:rsidRPr="004E397E" w:rsidRDefault="00AF2CA2" w:rsidP="00AF2CA2">
      <w:pPr>
        <w:rPr>
          <w:b/>
        </w:rPr>
      </w:pPr>
      <w:r>
        <w:rPr>
          <w:b/>
        </w:rPr>
        <w:t xml:space="preserve">Use#1 – Spray application - </w:t>
      </w:r>
      <w:r w:rsidRPr="00AF2CA2">
        <w:rPr>
          <w:b/>
          <w:u w:val="single"/>
        </w:rPr>
        <w:t>low application rate</w:t>
      </w:r>
      <w:r w:rsidR="007B127B">
        <w:tab/>
      </w:r>
      <w:r w:rsidR="007B127B">
        <w:tab/>
      </w:r>
      <w:r w:rsidR="007B127B">
        <w:tab/>
      </w:r>
      <w:r w:rsidR="007B127B">
        <w:tab/>
      </w:r>
      <w:r w:rsidRPr="004E397E">
        <w:rPr>
          <w:b/>
        </w:rPr>
        <w:t>Use #2 – Spray application</w:t>
      </w:r>
      <w:r>
        <w:rPr>
          <w:b/>
        </w:rPr>
        <w:t xml:space="preserve"> - </w:t>
      </w:r>
      <w:r w:rsidRPr="00AF2CA2">
        <w:rPr>
          <w:b/>
          <w:u w:val="single"/>
        </w:rPr>
        <w:t>high application rate</w:t>
      </w:r>
    </w:p>
    <w:tbl>
      <w:tblPr>
        <w:tblpPr w:leftFromText="141" w:rightFromText="141" w:vertAnchor="text" w:tblpX="45" w:tblpY="1"/>
        <w:tblOverlap w:val="never"/>
        <w:tblW w:w="5710" w:type="dxa"/>
        <w:tblLayout w:type="fixed"/>
        <w:tblCellMar>
          <w:left w:w="0" w:type="dxa"/>
          <w:right w:w="0" w:type="dxa"/>
        </w:tblCellMar>
        <w:tblLook w:val="0000" w:firstRow="0" w:lastRow="0" w:firstColumn="0" w:lastColumn="0" w:noHBand="0" w:noVBand="0"/>
      </w:tblPr>
      <w:tblGrid>
        <w:gridCol w:w="2707"/>
        <w:gridCol w:w="3003"/>
      </w:tblGrid>
      <w:tr w:rsidR="007B127B" w:rsidRPr="00845A73" w14:paraId="2275F5D5" w14:textId="77777777" w:rsidTr="0087212A">
        <w:tc>
          <w:tcPr>
            <w:tcW w:w="270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tcPr>
          <w:p w14:paraId="4FE0ED09" w14:textId="77777777" w:rsidR="007B127B" w:rsidRPr="004E397E" w:rsidRDefault="007B127B" w:rsidP="0087212A">
            <w:pPr>
              <w:rPr>
                <w:b/>
                <w:sz w:val="20"/>
              </w:rPr>
            </w:pPr>
            <w:r w:rsidRPr="004E397E">
              <w:rPr>
                <w:b/>
                <w:color w:val="000000"/>
                <w:sz w:val="20"/>
              </w:rPr>
              <w:t>Product Type</w:t>
            </w:r>
          </w:p>
        </w:tc>
        <w:tc>
          <w:tcPr>
            <w:tcW w:w="3003" w:type="dxa"/>
            <w:tcBorders>
              <w:top w:val="single" w:sz="4" w:space="0" w:color="000000"/>
              <w:left w:val="nil"/>
              <w:bottom w:val="single" w:sz="4" w:space="0" w:color="000000"/>
              <w:right w:val="single" w:sz="4" w:space="0" w:color="000000"/>
            </w:tcBorders>
            <w:tcMar>
              <w:top w:w="40" w:type="dxa"/>
              <w:left w:w="40" w:type="dxa"/>
              <w:bottom w:w="40" w:type="dxa"/>
              <w:right w:w="40" w:type="dxa"/>
            </w:tcMar>
          </w:tcPr>
          <w:p w14:paraId="02F23F60" w14:textId="77777777" w:rsidR="007B127B" w:rsidRPr="004E397E" w:rsidRDefault="007B127B" w:rsidP="0087212A">
            <w:pPr>
              <w:rPr>
                <w:sz w:val="20"/>
              </w:rPr>
            </w:pPr>
            <w:r>
              <w:rPr>
                <w:sz w:val="20"/>
              </w:rPr>
              <w:t>3</w:t>
            </w:r>
          </w:p>
        </w:tc>
      </w:tr>
      <w:tr w:rsidR="007B127B" w:rsidRPr="00845A73" w14:paraId="52E72920" w14:textId="77777777" w:rsidTr="0087212A">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2264A973" w14:textId="77777777" w:rsidR="007B127B" w:rsidRPr="004E397E" w:rsidRDefault="007B127B" w:rsidP="0087212A">
            <w:pPr>
              <w:rPr>
                <w:b/>
                <w:sz w:val="20"/>
              </w:rPr>
            </w:pPr>
            <w:r w:rsidRPr="004E397E">
              <w:rPr>
                <w:b/>
                <w:color w:val="000000"/>
                <w:sz w:val="20"/>
              </w:rPr>
              <w:t>Where relevant, an exact description of the authorised use</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0AC56CAF" w14:textId="77777777" w:rsidR="007B127B" w:rsidRPr="004E397E" w:rsidRDefault="007B127B" w:rsidP="0087212A">
            <w:pPr>
              <w:ind w:right="2186"/>
              <w:rPr>
                <w:sz w:val="20"/>
              </w:rPr>
            </w:pPr>
            <w:r>
              <w:rPr>
                <w:sz w:val="20"/>
              </w:rPr>
              <w:t>Not relevant</w:t>
            </w:r>
          </w:p>
        </w:tc>
      </w:tr>
      <w:tr w:rsidR="007B127B" w:rsidRPr="00845A73" w14:paraId="01C68110" w14:textId="77777777" w:rsidTr="0087212A">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09218945" w14:textId="77777777" w:rsidR="007B127B" w:rsidRPr="004E397E" w:rsidRDefault="007B127B" w:rsidP="0087212A">
            <w:pPr>
              <w:rPr>
                <w:b/>
                <w:sz w:val="20"/>
              </w:rPr>
            </w:pPr>
            <w:r w:rsidRPr="004E397E">
              <w:rPr>
                <w:b/>
                <w:color w:val="000000"/>
                <w:sz w:val="20"/>
              </w:rPr>
              <w:t>Target organism(s) (including development stage)</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669BCAF8" w14:textId="77777777" w:rsidR="007B127B" w:rsidRPr="004E397E" w:rsidRDefault="007B127B" w:rsidP="0087212A">
            <w:pPr>
              <w:spacing w:before="200"/>
              <w:rPr>
                <w:sz w:val="20"/>
              </w:rPr>
            </w:pPr>
            <w:r w:rsidRPr="004E397E">
              <w:rPr>
                <w:sz w:val="20"/>
              </w:rPr>
              <w:t>a, b, c</w:t>
            </w:r>
          </w:p>
        </w:tc>
      </w:tr>
      <w:tr w:rsidR="007B127B" w:rsidRPr="00845A73" w14:paraId="409671AC" w14:textId="77777777" w:rsidTr="0087212A">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3751E4AE" w14:textId="77777777" w:rsidR="007B127B" w:rsidRPr="004E397E" w:rsidRDefault="007B127B" w:rsidP="0087212A">
            <w:pPr>
              <w:rPr>
                <w:b/>
                <w:sz w:val="20"/>
              </w:rPr>
            </w:pPr>
            <w:r w:rsidRPr="004E397E">
              <w:rPr>
                <w:b/>
                <w:color w:val="000000"/>
                <w:sz w:val="20"/>
              </w:rPr>
              <w:t>Field(s) of use</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5BBEC4F2" w14:textId="77777777" w:rsidR="007B127B" w:rsidRPr="004E397E" w:rsidRDefault="007B127B" w:rsidP="0087212A">
            <w:pPr>
              <w:rPr>
                <w:sz w:val="20"/>
              </w:rPr>
            </w:pPr>
            <w:r w:rsidRPr="004E397E">
              <w:rPr>
                <w:sz w:val="20"/>
              </w:rPr>
              <w:t>A</w:t>
            </w:r>
          </w:p>
        </w:tc>
      </w:tr>
      <w:tr w:rsidR="007B127B" w:rsidRPr="00845A73" w14:paraId="740C12BF" w14:textId="77777777" w:rsidTr="0087212A">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6693B3B1" w14:textId="77777777" w:rsidR="007B127B" w:rsidRPr="007B127B" w:rsidRDefault="007B127B" w:rsidP="0087212A">
            <w:pPr>
              <w:rPr>
                <w:b/>
                <w:sz w:val="20"/>
              </w:rPr>
            </w:pPr>
            <w:r w:rsidRPr="007B127B">
              <w:rPr>
                <w:b/>
                <w:sz w:val="20"/>
              </w:rPr>
              <w:t>Application method(s)</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4B616FD5" w14:textId="3FFB39BA" w:rsidR="007B127B" w:rsidRPr="007B127B" w:rsidRDefault="00FB6161" w:rsidP="0087212A">
            <w:pPr>
              <w:rPr>
                <w:sz w:val="20"/>
              </w:rPr>
            </w:pPr>
            <w:r>
              <w:rPr>
                <w:sz w:val="20"/>
              </w:rPr>
              <w:t>i</w:t>
            </w:r>
          </w:p>
        </w:tc>
      </w:tr>
      <w:tr w:rsidR="007B127B" w:rsidRPr="00845A73" w14:paraId="295B9C5F" w14:textId="77777777" w:rsidTr="0087212A">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0E381776" w14:textId="77777777" w:rsidR="007B127B" w:rsidRPr="004E397E" w:rsidRDefault="007B127B" w:rsidP="0087212A">
            <w:pPr>
              <w:rPr>
                <w:b/>
                <w:sz w:val="20"/>
              </w:rPr>
            </w:pPr>
            <w:r w:rsidRPr="004E397E">
              <w:rPr>
                <w:b/>
                <w:color w:val="000000"/>
                <w:sz w:val="20"/>
              </w:rPr>
              <w:t>Application rate(s) and frequency</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18E8B6E7" w14:textId="77777777" w:rsidR="007B127B" w:rsidRPr="007B127B" w:rsidRDefault="007B127B" w:rsidP="007B127B">
            <w:pPr>
              <w:spacing w:after="120"/>
              <w:rPr>
                <w:color w:val="FF0000"/>
                <w:sz w:val="20"/>
              </w:rPr>
            </w:pPr>
            <w:r w:rsidRPr="007B127B">
              <w:rPr>
                <w:color w:val="FF0000"/>
                <w:sz w:val="20"/>
              </w:rPr>
              <w:t>1% BP concentrate in water</w:t>
            </w:r>
          </w:p>
          <w:p w14:paraId="32BD75C4" w14:textId="77777777" w:rsidR="007B127B" w:rsidRPr="004E397E" w:rsidRDefault="007B127B" w:rsidP="0087212A">
            <w:pPr>
              <w:rPr>
                <w:sz w:val="20"/>
              </w:rPr>
            </w:pPr>
            <w:r w:rsidRPr="004E397E">
              <w:rPr>
                <w:sz w:val="20"/>
              </w:rPr>
              <w:t>100 mL / m</w:t>
            </w:r>
            <w:r w:rsidRPr="004E397E">
              <w:rPr>
                <w:sz w:val="20"/>
                <w:vertAlign w:val="superscript"/>
              </w:rPr>
              <w:t>2</w:t>
            </w:r>
          </w:p>
        </w:tc>
      </w:tr>
      <w:tr w:rsidR="007B127B" w:rsidRPr="00845A73" w14:paraId="0F556586" w14:textId="77777777" w:rsidTr="0087212A">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3A8ABCE2" w14:textId="77777777" w:rsidR="007B127B" w:rsidRPr="004E397E" w:rsidRDefault="007B127B" w:rsidP="0087212A">
            <w:pPr>
              <w:rPr>
                <w:b/>
                <w:sz w:val="20"/>
              </w:rPr>
            </w:pPr>
            <w:r w:rsidRPr="004E397E">
              <w:rPr>
                <w:b/>
                <w:color w:val="000000"/>
                <w:sz w:val="20"/>
              </w:rPr>
              <w:t>Category(ies) of users</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777CF1CE" w14:textId="77777777" w:rsidR="007B127B" w:rsidRPr="004E397E" w:rsidRDefault="007B127B" w:rsidP="0087212A">
            <w:pPr>
              <w:rPr>
                <w:sz w:val="20"/>
              </w:rPr>
            </w:pPr>
            <w:r w:rsidRPr="004E397E">
              <w:rPr>
                <w:sz w:val="20"/>
              </w:rPr>
              <w:t>Prof</w:t>
            </w:r>
          </w:p>
        </w:tc>
      </w:tr>
      <w:tr w:rsidR="007B127B" w:rsidRPr="00845A73" w14:paraId="448EE628" w14:textId="77777777" w:rsidTr="0087212A">
        <w:tc>
          <w:tcPr>
            <w:tcW w:w="2707" w:type="dxa"/>
            <w:tcBorders>
              <w:top w:val="nil"/>
              <w:left w:val="single" w:sz="4" w:space="0" w:color="000000"/>
              <w:bottom w:val="single" w:sz="4" w:space="0" w:color="000000"/>
              <w:right w:val="single" w:sz="4" w:space="0" w:color="000000"/>
            </w:tcBorders>
            <w:tcMar>
              <w:top w:w="40" w:type="dxa"/>
              <w:left w:w="40" w:type="dxa"/>
              <w:bottom w:w="40" w:type="dxa"/>
              <w:right w:w="40" w:type="dxa"/>
            </w:tcMar>
          </w:tcPr>
          <w:p w14:paraId="5A24788E" w14:textId="77777777" w:rsidR="007B127B" w:rsidRPr="004E397E" w:rsidRDefault="007B127B" w:rsidP="0087212A">
            <w:pPr>
              <w:rPr>
                <w:b/>
                <w:sz w:val="20"/>
              </w:rPr>
            </w:pPr>
            <w:r w:rsidRPr="004E397E">
              <w:rPr>
                <w:b/>
                <w:color w:val="000000"/>
                <w:sz w:val="20"/>
              </w:rPr>
              <w:t>Pack sizes and packaging material</w:t>
            </w:r>
          </w:p>
        </w:tc>
        <w:tc>
          <w:tcPr>
            <w:tcW w:w="3003" w:type="dxa"/>
            <w:tcBorders>
              <w:top w:val="nil"/>
              <w:left w:val="nil"/>
              <w:bottom w:val="single" w:sz="4" w:space="0" w:color="000000"/>
              <w:right w:val="single" w:sz="4" w:space="0" w:color="000000"/>
            </w:tcBorders>
            <w:tcMar>
              <w:top w:w="40" w:type="dxa"/>
              <w:left w:w="40" w:type="dxa"/>
              <w:bottom w:w="40" w:type="dxa"/>
              <w:right w:w="40" w:type="dxa"/>
            </w:tcMar>
          </w:tcPr>
          <w:p w14:paraId="4431C63D" w14:textId="77777777" w:rsidR="007B127B" w:rsidRPr="004E397E" w:rsidRDefault="007B127B" w:rsidP="0087212A">
            <w:pPr>
              <w:rPr>
                <w:sz w:val="20"/>
              </w:rPr>
            </w:pPr>
            <w:r w:rsidRPr="004E397E">
              <w:rPr>
                <w:sz w:val="20"/>
              </w:rPr>
              <w:t>1, 2, 3</w:t>
            </w:r>
          </w:p>
        </w:tc>
      </w:tr>
    </w:tbl>
    <w:tbl>
      <w:tblPr>
        <w:tblStyle w:val="TableGrid"/>
        <w:tblpPr w:leftFromText="141" w:rightFromText="141" w:vertAnchor="text" w:horzAnchor="page" w:tblpX="8394" w:tblpY="61"/>
        <w:tblW w:w="0" w:type="auto"/>
        <w:tblLook w:val="04A0" w:firstRow="1" w:lastRow="0" w:firstColumn="1" w:lastColumn="0" w:noHBand="0" w:noVBand="1"/>
      </w:tblPr>
      <w:tblGrid>
        <w:gridCol w:w="2802"/>
        <w:gridCol w:w="3260"/>
      </w:tblGrid>
      <w:tr w:rsidR="007B127B" w14:paraId="581767C9" w14:textId="77777777" w:rsidTr="0087212A">
        <w:tc>
          <w:tcPr>
            <w:tcW w:w="2802" w:type="dxa"/>
          </w:tcPr>
          <w:p w14:paraId="392057C3" w14:textId="77777777" w:rsidR="007B127B" w:rsidRPr="004E397E" w:rsidRDefault="007B127B" w:rsidP="0087212A">
            <w:pPr>
              <w:rPr>
                <w:rFonts w:ascii="Times New Roman" w:hAnsi="Times New Roman"/>
                <w:b/>
              </w:rPr>
            </w:pPr>
            <w:r w:rsidRPr="004E397E">
              <w:rPr>
                <w:rFonts w:ascii="Times New Roman" w:hAnsi="Times New Roman"/>
                <w:b/>
              </w:rPr>
              <w:t>Product Type</w:t>
            </w:r>
          </w:p>
        </w:tc>
        <w:tc>
          <w:tcPr>
            <w:tcW w:w="3260" w:type="dxa"/>
          </w:tcPr>
          <w:p w14:paraId="28D39567" w14:textId="77777777" w:rsidR="007B127B" w:rsidRPr="004E397E" w:rsidRDefault="007B127B" w:rsidP="0087212A">
            <w:pPr>
              <w:rPr>
                <w:rFonts w:ascii="Times New Roman" w:hAnsi="Times New Roman"/>
              </w:rPr>
            </w:pPr>
            <w:r>
              <w:rPr>
                <w:rFonts w:ascii="Times New Roman" w:hAnsi="Times New Roman"/>
              </w:rPr>
              <w:t>3</w:t>
            </w:r>
          </w:p>
        </w:tc>
      </w:tr>
      <w:tr w:rsidR="007B127B" w14:paraId="19358833" w14:textId="77777777" w:rsidTr="0087212A">
        <w:trPr>
          <w:trHeight w:val="1075"/>
        </w:trPr>
        <w:tc>
          <w:tcPr>
            <w:tcW w:w="2802" w:type="dxa"/>
          </w:tcPr>
          <w:p w14:paraId="14F55BEB" w14:textId="77777777" w:rsidR="007B127B" w:rsidRPr="004E397E" w:rsidRDefault="007B127B" w:rsidP="0087212A">
            <w:pPr>
              <w:rPr>
                <w:rFonts w:ascii="Times New Roman" w:hAnsi="Times New Roman"/>
                <w:b/>
              </w:rPr>
            </w:pPr>
            <w:r w:rsidRPr="004E397E">
              <w:rPr>
                <w:rFonts w:ascii="Times New Roman" w:hAnsi="Times New Roman"/>
                <w:b/>
              </w:rPr>
              <w:t>Where relevant an exact description of the authorised use</w:t>
            </w:r>
          </w:p>
        </w:tc>
        <w:tc>
          <w:tcPr>
            <w:tcW w:w="3260" w:type="dxa"/>
          </w:tcPr>
          <w:p w14:paraId="23D40E4E" w14:textId="77777777" w:rsidR="007B127B" w:rsidRPr="004E397E" w:rsidRDefault="007B127B" w:rsidP="0087212A">
            <w:pPr>
              <w:rPr>
                <w:rFonts w:ascii="Times New Roman" w:hAnsi="Times New Roman"/>
              </w:rPr>
            </w:pPr>
            <w:r>
              <w:rPr>
                <w:rFonts w:ascii="Times New Roman" w:hAnsi="Times New Roman"/>
              </w:rPr>
              <w:t xml:space="preserve">Not relevant </w:t>
            </w:r>
          </w:p>
        </w:tc>
      </w:tr>
      <w:tr w:rsidR="007B127B" w14:paraId="3B0F4398" w14:textId="77777777" w:rsidTr="0087212A">
        <w:tc>
          <w:tcPr>
            <w:tcW w:w="2802" w:type="dxa"/>
            <w:tcBorders>
              <w:top w:val="nil"/>
              <w:left w:val="single" w:sz="4" w:space="0" w:color="000000"/>
              <w:bottom w:val="single" w:sz="4" w:space="0" w:color="000000"/>
              <w:right w:val="single" w:sz="4" w:space="0" w:color="000000"/>
            </w:tcBorders>
          </w:tcPr>
          <w:p w14:paraId="35B6D968" w14:textId="77777777" w:rsidR="007B127B" w:rsidRPr="004E397E" w:rsidRDefault="007B127B" w:rsidP="0087212A">
            <w:pPr>
              <w:rPr>
                <w:rFonts w:ascii="Times New Roman" w:hAnsi="Times New Roman"/>
              </w:rPr>
            </w:pPr>
            <w:r w:rsidRPr="004E397E">
              <w:rPr>
                <w:rFonts w:ascii="Times New Roman" w:hAnsi="Times New Roman"/>
                <w:b/>
                <w:color w:val="000000"/>
              </w:rPr>
              <w:t>Target organism(s) (including development stage)</w:t>
            </w:r>
          </w:p>
        </w:tc>
        <w:tc>
          <w:tcPr>
            <w:tcW w:w="3260" w:type="dxa"/>
          </w:tcPr>
          <w:p w14:paraId="42BF2C32" w14:textId="77777777" w:rsidR="007B127B" w:rsidRPr="004E397E" w:rsidRDefault="007B127B" w:rsidP="0087212A">
            <w:pPr>
              <w:rPr>
                <w:rFonts w:ascii="Times New Roman" w:hAnsi="Times New Roman"/>
              </w:rPr>
            </w:pPr>
            <w:r>
              <w:rPr>
                <w:rFonts w:ascii="Times New Roman" w:hAnsi="Times New Roman"/>
              </w:rPr>
              <w:t>a,b,c</w:t>
            </w:r>
          </w:p>
        </w:tc>
      </w:tr>
      <w:tr w:rsidR="007B127B" w14:paraId="6DA50B36" w14:textId="77777777" w:rsidTr="0087212A">
        <w:trPr>
          <w:trHeight w:val="561"/>
        </w:trPr>
        <w:tc>
          <w:tcPr>
            <w:tcW w:w="2802" w:type="dxa"/>
            <w:tcBorders>
              <w:top w:val="nil"/>
              <w:left w:val="single" w:sz="4" w:space="0" w:color="000000"/>
              <w:bottom w:val="single" w:sz="4" w:space="0" w:color="000000"/>
              <w:right w:val="single" w:sz="4" w:space="0" w:color="000000"/>
            </w:tcBorders>
          </w:tcPr>
          <w:p w14:paraId="53A0F85B" w14:textId="77777777" w:rsidR="007B127B" w:rsidRPr="004E397E" w:rsidRDefault="007B127B" w:rsidP="0087212A">
            <w:pPr>
              <w:rPr>
                <w:rFonts w:ascii="Times New Roman" w:hAnsi="Times New Roman"/>
              </w:rPr>
            </w:pPr>
            <w:r w:rsidRPr="004E397E">
              <w:rPr>
                <w:rFonts w:ascii="Times New Roman" w:hAnsi="Times New Roman"/>
                <w:b/>
                <w:color w:val="000000"/>
              </w:rPr>
              <w:t>Field(s) of use</w:t>
            </w:r>
          </w:p>
        </w:tc>
        <w:tc>
          <w:tcPr>
            <w:tcW w:w="3260" w:type="dxa"/>
          </w:tcPr>
          <w:p w14:paraId="6164A89A" w14:textId="77777777" w:rsidR="007B127B" w:rsidRPr="004E397E" w:rsidRDefault="007B127B" w:rsidP="0087212A">
            <w:pPr>
              <w:rPr>
                <w:rFonts w:ascii="Times New Roman" w:hAnsi="Times New Roman"/>
              </w:rPr>
            </w:pPr>
            <w:r>
              <w:rPr>
                <w:rFonts w:ascii="Times New Roman" w:hAnsi="Times New Roman"/>
              </w:rPr>
              <w:t>A</w:t>
            </w:r>
          </w:p>
        </w:tc>
      </w:tr>
      <w:tr w:rsidR="007B127B" w14:paraId="0A57AA98" w14:textId="77777777" w:rsidTr="0087212A">
        <w:trPr>
          <w:trHeight w:val="541"/>
        </w:trPr>
        <w:tc>
          <w:tcPr>
            <w:tcW w:w="2802" w:type="dxa"/>
            <w:tcBorders>
              <w:top w:val="nil"/>
              <w:left w:val="single" w:sz="4" w:space="0" w:color="000000"/>
              <w:bottom w:val="single" w:sz="4" w:space="0" w:color="000000"/>
              <w:right w:val="single" w:sz="4" w:space="0" w:color="000000"/>
            </w:tcBorders>
          </w:tcPr>
          <w:p w14:paraId="6FAC0CB4" w14:textId="77777777" w:rsidR="007B127B" w:rsidRPr="007B127B" w:rsidRDefault="007B127B" w:rsidP="0087212A">
            <w:pPr>
              <w:rPr>
                <w:rFonts w:ascii="Times New Roman" w:hAnsi="Times New Roman"/>
              </w:rPr>
            </w:pPr>
            <w:r w:rsidRPr="007B127B">
              <w:rPr>
                <w:rFonts w:ascii="Times New Roman" w:hAnsi="Times New Roman"/>
                <w:b/>
              </w:rPr>
              <w:t>Application method(s)</w:t>
            </w:r>
          </w:p>
        </w:tc>
        <w:tc>
          <w:tcPr>
            <w:tcW w:w="3260" w:type="dxa"/>
          </w:tcPr>
          <w:p w14:paraId="3670396C" w14:textId="77777777" w:rsidR="007B127B" w:rsidRPr="007B127B" w:rsidRDefault="007B127B" w:rsidP="0087212A">
            <w:pPr>
              <w:rPr>
                <w:rFonts w:ascii="Times New Roman" w:hAnsi="Times New Roman"/>
              </w:rPr>
            </w:pPr>
            <w:r w:rsidRPr="007B127B">
              <w:rPr>
                <w:rFonts w:ascii="Times New Roman" w:hAnsi="Times New Roman"/>
              </w:rPr>
              <w:t>i</w:t>
            </w:r>
          </w:p>
        </w:tc>
      </w:tr>
      <w:tr w:rsidR="007B127B" w14:paraId="37F56545" w14:textId="77777777" w:rsidTr="0087212A">
        <w:tc>
          <w:tcPr>
            <w:tcW w:w="2802" w:type="dxa"/>
            <w:tcBorders>
              <w:top w:val="nil"/>
              <w:left w:val="single" w:sz="4" w:space="0" w:color="000000"/>
              <w:bottom w:val="single" w:sz="4" w:space="0" w:color="000000"/>
              <w:right w:val="single" w:sz="4" w:space="0" w:color="000000"/>
            </w:tcBorders>
          </w:tcPr>
          <w:p w14:paraId="60385233" w14:textId="77777777" w:rsidR="007B127B" w:rsidRPr="004E397E" w:rsidRDefault="007B127B" w:rsidP="0087212A">
            <w:pPr>
              <w:rPr>
                <w:rFonts w:ascii="Times New Roman" w:hAnsi="Times New Roman"/>
              </w:rPr>
            </w:pPr>
            <w:r w:rsidRPr="004E397E">
              <w:rPr>
                <w:rFonts w:ascii="Times New Roman" w:hAnsi="Times New Roman"/>
                <w:b/>
                <w:color w:val="000000"/>
              </w:rPr>
              <w:t>Application rate(s) and frequency</w:t>
            </w:r>
          </w:p>
        </w:tc>
        <w:tc>
          <w:tcPr>
            <w:tcW w:w="3260" w:type="dxa"/>
          </w:tcPr>
          <w:p w14:paraId="6BB64538" w14:textId="77777777" w:rsidR="007B127B" w:rsidRPr="007B127B" w:rsidRDefault="007B127B" w:rsidP="007B127B">
            <w:pPr>
              <w:spacing w:after="120"/>
              <w:rPr>
                <w:rFonts w:ascii="Times New Roman" w:hAnsi="Times New Roman"/>
                <w:color w:val="FF0000"/>
              </w:rPr>
            </w:pPr>
            <w:r w:rsidRPr="007B127B">
              <w:rPr>
                <w:rFonts w:ascii="Times New Roman" w:hAnsi="Times New Roman"/>
                <w:color w:val="FF0000"/>
              </w:rPr>
              <w:t xml:space="preserve">25% BP concentrate in water </w:t>
            </w:r>
          </w:p>
          <w:p w14:paraId="4A8A5540" w14:textId="77777777" w:rsidR="007B127B" w:rsidRPr="004E397E" w:rsidRDefault="007B127B" w:rsidP="0087212A">
            <w:pPr>
              <w:rPr>
                <w:rFonts w:ascii="Times New Roman" w:hAnsi="Times New Roman"/>
              </w:rPr>
            </w:pPr>
            <w:r>
              <w:rPr>
                <w:rFonts w:ascii="Times New Roman" w:hAnsi="Times New Roman"/>
              </w:rPr>
              <w:t>100 mL/m²</w:t>
            </w:r>
          </w:p>
        </w:tc>
      </w:tr>
      <w:tr w:rsidR="007B127B" w14:paraId="1F5F01F6" w14:textId="77777777" w:rsidTr="0087212A">
        <w:trPr>
          <w:trHeight w:val="558"/>
        </w:trPr>
        <w:tc>
          <w:tcPr>
            <w:tcW w:w="2802" w:type="dxa"/>
            <w:tcBorders>
              <w:top w:val="nil"/>
              <w:left w:val="single" w:sz="4" w:space="0" w:color="000000"/>
              <w:bottom w:val="single" w:sz="4" w:space="0" w:color="000000"/>
              <w:right w:val="single" w:sz="4" w:space="0" w:color="000000"/>
            </w:tcBorders>
          </w:tcPr>
          <w:p w14:paraId="5C3AECEB" w14:textId="77777777" w:rsidR="007B127B" w:rsidRPr="004E397E" w:rsidRDefault="007B127B" w:rsidP="0087212A">
            <w:pPr>
              <w:rPr>
                <w:rFonts w:ascii="Times New Roman" w:hAnsi="Times New Roman"/>
              </w:rPr>
            </w:pPr>
            <w:r w:rsidRPr="004E397E">
              <w:rPr>
                <w:rFonts w:ascii="Times New Roman" w:hAnsi="Times New Roman"/>
                <w:b/>
                <w:color w:val="000000"/>
              </w:rPr>
              <w:t>Category(ies) of users</w:t>
            </w:r>
          </w:p>
        </w:tc>
        <w:tc>
          <w:tcPr>
            <w:tcW w:w="3260" w:type="dxa"/>
          </w:tcPr>
          <w:p w14:paraId="5B9FDFF1" w14:textId="77777777" w:rsidR="007B127B" w:rsidRPr="004E397E" w:rsidRDefault="007B127B" w:rsidP="0087212A">
            <w:pPr>
              <w:rPr>
                <w:rFonts w:ascii="Times New Roman" w:hAnsi="Times New Roman"/>
              </w:rPr>
            </w:pPr>
            <w:r>
              <w:rPr>
                <w:rFonts w:ascii="Times New Roman" w:hAnsi="Times New Roman"/>
              </w:rPr>
              <w:t>Prof</w:t>
            </w:r>
          </w:p>
        </w:tc>
      </w:tr>
      <w:tr w:rsidR="007B127B" w14:paraId="042DE409" w14:textId="77777777" w:rsidTr="0087212A">
        <w:trPr>
          <w:trHeight w:val="850"/>
        </w:trPr>
        <w:tc>
          <w:tcPr>
            <w:tcW w:w="2802" w:type="dxa"/>
            <w:tcBorders>
              <w:top w:val="nil"/>
              <w:left w:val="single" w:sz="4" w:space="0" w:color="000000"/>
              <w:bottom w:val="single" w:sz="4" w:space="0" w:color="000000"/>
              <w:right w:val="single" w:sz="4" w:space="0" w:color="000000"/>
            </w:tcBorders>
          </w:tcPr>
          <w:p w14:paraId="1ADAF2F1" w14:textId="77777777" w:rsidR="007B127B" w:rsidRPr="004E397E" w:rsidRDefault="007B127B" w:rsidP="0087212A">
            <w:pPr>
              <w:rPr>
                <w:rFonts w:ascii="Times New Roman" w:hAnsi="Times New Roman"/>
              </w:rPr>
            </w:pPr>
            <w:r w:rsidRPr="004E397E">
              <w:rPr>
                <w:rFonts w:ascii="Times New Roman" w:hAnsi="Times New Roman"/>
                <w:b/>
                <w:color w:val="000000"/>
              </w:rPr>
              <w:t>Pack sizes and packaging material</w:t>
            </w:r>
          </w:p>
        </w:tc>
        <w:tc>
          <w:tcPr>
            <w:tcW w:w="3260" w:type="dxa"/>
          </w:tcPr>
          <w:p w14:paraId="5CA6C058" w14:textId="77777777" w:rsidR="007B127B" w:rsidRPr="004E397E" w:rsidRDefault="007B127B" w:rsidP="0087212A">
            <w:pPr>
              <w:rPr>
                <w:rFonts w:ascii="Times New Roman" w:hAnsi="Times New Roman"/>
              </w:rPr>
            </w:pPr>
            <w:r>
              <w:rPr>
                <w:rFonts w:ascii="Times New Roman" w:hAnsi="Times New Roman"/>
              </w:rPr>
              <w:t>1,2,3</w:t>
            </w:r>
          </w:p>
        </w:tc>
      </w:tr>
    </w:tbl>
    <w:p w14:paraId="6F91EE9B" w14:textId="77777777" w:rsidR="00385DDA" w:rsidRDefault="00385DDA" w:rsidP="00194055"/>
    <w:p w14:paraId="4C7B9922" w14:textId="77777777" w:rsidR="00385DDA" w:rsidRPr="00385DDA" w:rsidRDefault="00385DDA" w:rsidP="00385DDA"/>
    <w:p w14:paraId="3CAE8BB0" w14:textId="77777777" w:rsidR="00385DDA" w:rsidRPr="00385DDA" w:rsidRDefault="00385DDA" w:rsidP="00385DDA"/>
    <w:p w14:paraId="0F31ACB7" w14:textId="77777777" w:rsidR="00385DDA" w:rsidRPr="00385DDA" w:rsidRDefault="00385DDA" w:rsidP="00385DDA"/>
    <w:p w14:paraId="7FBBB0C8" w14:textId="77777777" w:rsidR="00385DDA" w:rsidRPr="00385DDA" w:rsidRDefault="00385DDA" w:rsidP="00385DDA"/>
    <w:p w14:paraId="5E79F3B9" w14:textId="77777777" w:rsidR="00385DDA" w:rsidRPr="00385DDA" w:rsidRDefault="00385DDA" w:rsidP="00385DDA"/>
    <w:p w14:paraId="0787DED8" w14:textId="77777777" w:rsidR="00385DDA" w:rsidRPr="00385DDA" w:rsidRDefault="00385DDA" w:rsidP="00385DDA"/>
    <w:p w14:paraId="027CC7C2" w14:textId="77777777" w:rsidR="00385DDA" w:rsidRPr="00385DDA" w:rsidRDefault="00385DDA" w:rsidP="00385DDA"/>
    <w:p w14:paraId="0808154D" w14:textId="77777777" w:rsidR="00385DDA" w:rsidRPr="00385DDA" w:rsidRDefault="00385DDA" w:rsidP="00385DDA"/>
    <w:p w14:paraId="3925EAD1" w14:textId="77777777" w:rsidR="00385DDA" w:rsidRPr="00385DDA" w:rsidRDefault="00385DDA" w:rsidP="00385DDA"/>
    <w:p w14:paraId="7EAE151A" w14:textId="77777777" w:rsidR="00385DDA" w:rsidRDefault="00385DDA" w:rsidP="00385DDA"/>
    <w:p w14:paraId="776C7868" w14:textId="77777777" w:rsidR="00AF2CA2" w:rsidRDefault="00AF2CA2" w:rsidP="00385DDA">
      <w:pPr>
        <w:spacing w:after="0"/>
      </w:pPr>
    </w:p>
    <w:p w14:paraId="175438A0" w14:textId="77777777" w:rsidR="00385DDA" w:rsidRDefault="00385DDA" w:rsidP="00385DDA">
      <w:pPr>
        <w:tabs>
          <w:tab w:val="center" w:pos="7399"/>
        </w:tabs>
        <w:spacing w:after="0"/>
      </w:pPr>
      <w:r>
        <w:t>RMMs: no PPE necessary</w:t>
      </w:r>
      <w:r>
        <w:tab/>
        <w:t xml:space="preserve">                               RMMs: PPE necessary</w:t>
      </w:r>
    </w:p>
    <w:p w14:paraId="150D1BEF" w14:textId="77777777" w:rsidR="00385DDA" w:rsidRDefault="00385DDA" w:rsidP="00385DDA"/>
    <w:p w14:paraId="32F55014" w14:textId="77777777" w:rsidR="00385DDA" w:rsidRDefault="00385DDA" w:rsidP="00385DDA">
      <w:pPr>
        <w:sectPr w:rsidR="00385DDA" w:rsidSect="00194055">
          <w:pgSz w:w="16838" w:h="11906" w:orient="landscape"/>
          <w:pgMar w:top="1587" w:right="1020" w:bottom="1701" w:left="1020" w:header="601" w:footer="1077" w:gutter="0"/>
          <w:cols w:space="720"/>
          <w:titlePg/>
          <w:docGrid w:linePitch="326"/>
        </w:sectPr>
      </w:pPr>
    </w:p>
    <w:p w14:paraId="080DE836" w14:textId="77777777" w:rsidR="00385DDA" w:rsidRDefault="00A043EF" w:rsidP="00D20AA9">
      <w:pPr>
        <w:pStyle w:val="Heading1"/>
        <w:numPr>
          <w:ilvl w:val="0"/>
          <w:numId w:val="0"/>
        </w:numPr>
        <w:ind w:left="482" w:hanging="482"/>
      </w:pPr>
      <w:r>
        <w:lastRenderedPageBreak/>
        <w:t>Example regarding subset with different levels of risks</w:t>
      </w:r>
    </w:p>
    <w:p w14:paraId="18920409" w14:textId="77777777" w:rsidR="00D20AA9" w:rsidRPr="00D20AA9" w:rsidRDefault="00D20AA9" w:rsidP="00D20AA9">
      <w:pPr>
        <w:widowControl w:val="0"/>
        <w:spacing w:before="120" w:after="120"/>
        <w:rPr>
          <w:snapToGrid w:val="0"/>
          <w:szCs w:val="24"/>
          <w:lang w:eastAsia="fi-FI"/>
        </w:rPr>
      </w:pPr>
      <w:r w:rsidRPr="00D20AA9">
        <w:rPr>
          <w:snapToGrid w:val="0"/>
          <w:szCs w:val="24"/>
          <w:lang w:eastAsia="fi-FI"/>
        </w:rPr>
        <w:t>The BPF applied for includes one act</w:t>
      </w:r>
      <w:r>
        <w:rPr>
          <w:snapToGrid w:val="0"/>
          <w:szCs w:val="24"/>
          <w:lang w:eastAsia="fi-FI"/>
        </w:rPr>
        <w:t xml:space="preserve">ive substance (5-10 %) which is </w:t>
      </w:r>
      <w:r w:rsidRPr="00D20AA9">
        <w:rPr>
          <w:snapToGrid w:val="0"/>
          <w:szCs w:val="24"/>
          <w:lang w:eastAsia="fi-FI"/>
        </w:rPr>
        <w:t>dissolved in a solvent (75-85%). In order to keep the active substance in solution co-formulant 1 (5-10%) is needed. The products of the BPF are available with different combinations of pigments, perfumes and dyes (PPD overall always 5%).</w:t>
      </w:r>
    </w:p>
    <w:p w14:paraId="34B18B63" w14:textId="77777777" w:rsidR="00D20AA9" w:rsidRPr="00D20AA9" w:rsidRDefault="00D20AA9" w:rsidP="00D20AA9">
      <w:pPr>
        <w:widowControl w:val="0"/>
        <w:spacing w:before="120" w:after="120"/>
        <w:jc w:val="center"/>
        <w:rPr>
          <w:rFonts w:ascii="Verdana" w:hAnsi="Verdana"/>
          <w:b/>
          <w:snapToGrid w:val="0"/>
          <w:sz w:val="20"/>
          <w:lang w:eastAsia="fi-FI"/>
        </w:rPr>
      </w:pPr>
      <w:r w:rsidRPr="00D20AA9">
        <w:rPr>
          <w:rFonts w:ascii="Verdana" w:hAnsi="Verdana"/>
          <w:b/>
          <w:noProof/>
          <w:snapToGrid w:val="0"/>
          <w:color w:val="FF0000"/>
          <w:sz w:val="20"/>
          <w:lang w:val="fr-BE" w:eastAsia="fr-BE"/>
        </w:rPr>
        <w:drawing>
          <wp:inline distT="0" distB="0" distL="0" distR="0" wp14:anchorId="4567EA70" wp14:editId="3E99A0DB">
            <wp:extent cx="2764800" cy="2343600"/>
            <wp:effectExtent l="0" t="0" r="0" b="0"/>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4 Example Subset Risk.PNG"/>
                    <pic:cNvPicPr/>
                  </pic:nvPicPr>
                  <pic:blipFill>
                    <a:blip r:embed="rId29">
                      <a:extLst>
                        <a:ext uri="{28A0092B-C50C-407E-A947-70E740481C1C}">
                          <a14:useLocalDpi xmlns:a14="http://schemas.microsoft.com/office/drawing/2010/main" val="0"/>
                        </a:ext>
                      </a:extLst>
                    </a:blip>
                    <a:stretch>
                      <a:fillRect/>
                    </a:stretch>
                  </pic:blipFill>
                  <pic:spPr>
                    <a:xfrm>
                      <a:off x="0" y="0"/>
                      <a:ext cx="2764800" cy="2343600"/>
                    </a:xfrm>
                    <a:prstGeom prst="rect">
                      <a:avLst/>
                    </a:prstGeom>
                  </pic:spPr>
                </pic:pic>
              </a:graphicData>
            </a:graphic>
          </wp:inline>
        </w:drawing>
      </w:r>
    </w:p>
    <w:p w14:paraId="1A3D1EB2" w14:textId="77777777" w:rsidR="00D20AA9" w:rsidRPr="00D20AA9" w:rsidRDefault="001E14DE" w:rsidP="00D20AA9">
      <w:pPr>
        <w:widowControl w:val="0"/>
        <w:spacing w:before="120" w:after="120"/>
        <w:jc w:val="center"/>
        <w:rPr>
          <w:snapToGrid w:val="0"/>
          <w:szCs w:val="24"/>
          <w:lang w:eastAsia="fi-FI"/>
        </w:rPr>
      </w:pPr>
      <w:r>
        <w:rPr>
          <w:b/>
          <w:snapToGrid w:val="0"/>
          <w:szCs w:val="24"/>
          <w:lang w:eastAsia="fi-FI"/>
        </w:rPr>
        <w:t>Figure 6</w:t>
      </w:r>
      <w:r w:rsidR="00D20AA9" w:rsidRPr="00D20AA9">
        <w:rPr>
          <w:b/>
          <w:snapToGrid w:val="0"/>
          <w:szCs w:val="24"/>
          <w:lang w:eastAsia="fi-FI"/>
        </w:rPr>
        <w:t xml:space="preserve">: </w:t>
      </w:r>
      <w:r w:rsidR="00D20AA9" w:rsidRPr="00D20AA9">
        <w:rPr>
          <w:snapToGrid w:val="0"/>
          <w:szCs w:val="24"/>
          <w:lang w:eastAsia="fi-FI"/>
        </w:rPr>
        <w:t>Visualisation of core and subset.</w:t>
      </w:r>
    </w:p>
    <w:p w14:paraId="35CF6250" w14:textId="77777777" w:rsidR="00D20AA9" w:rsidRPr="00D20AA9" w:rsidRDefault="00D20AA9" w:rsidP="00D20AA9">
      <w:pPr>
        <w:widowControl w:val="0"/>
        <w:spacing w:before="120" w:after="120"/>
        <w:rPr>
          <w:snapToGrid w:val="0"/>
          <w:szCs w:val="24"/>
          <w:lang w:eastAsia="fi-FI"/>
        </w:rPr>
      </w:pPr>
      <w:r w:rsidRPr="00D20AA9">
        <w:rPr>
          <w:snapToGrid w:val="0"/>
          <w:szCs w:val="24"/>
          <w:lang w:eastAsia="fi-FI"/>
        </w:rPr>
        <w:t xml:space="preserve">There is only one use for professional users (use 1, regarding the uses and an overview of the composition ranges see Table </w:t>
      </w:r>
      <w:r w:rsidR="00AA55BA">
        <w:rPr>
          <w:snapToGrid w:val="0"/>
          <w:szCs w:val="24"/>
          <w:lang w:eastAsia="fi-FI"/>
        </w:rPr>
        <w:t>7</w:t>
      </w:r>
      <w:r w:rsidRPr="00D20AA9">
        <w:rPr>
          <w:snapToGrid w:val="0"/>
          <w:szCs w:val="24"/>
          <w:lang w:eastAsia="fi-FI"/>
        </w:rPr>
        <w:t xml:space="preserve"> below).</w:t>
      </w:r>
    </w:p>
    <w:p w14:paraId="6FFB741F" w14:textId="77777777" w:rsidR="00D20AA9" w:rsidRPr="00D20AA9" w:rsidRDefault="00D20AA9" w:rsidP="00D20AA9">
      <w:pPr>
        <w:widowControl w:val="0"/>
        <w:spacing w:before="120" w:after="120"/>
        <w:rPr>
          <w:snapToGrid w:val="0"/>
          <w:szCs w:val="24"/>
          <w:lang w:eastAsia="fi-FI"/>
        </w:rPr>
      </w:pPr>
      <w:r w:rsidRPr="00D20AA9">
        <w:rPr>
          <w:snapToGrid w:val="0"/>
          <w:szCs w:val="24"/>
          <w:lang w:eastAsia="fi-FI"/>
        </w:rPr>
        <w:t xml:space="preserve">After having identified the relevant </w:t>
      </w:r>
      <w:r w:rsidR="00AA55BA" w:rsidRPr="00D20AA9">
        <w:rPr>
          <w:snapToGrid w:val="0"/>
          <w:szCs w:val="24"/>
          <w:lang w:eastAsia="fi-FI"/>
        </w:rPr>
        <w:t>worst-case</w:t>
      </w:r>
      <w:r w:rsidRPr="00D20AA9">
        <w:rPr>
          <w:snapToGrid w:val="0"/>
          <w:szCs w:val="24"/>
          <w:lang w:eastAsia="fi-FI"/>
        </w:rPr>
        <w:t xml:space="preserve"> composition for the core, every use in the core (here use 1 only) is assessed: PPE is required and the set of RMMs is consistent (same RMMs from best to worst case (5-10 % active substance)). Furthermore, efficacy against all target organisms was proven with 5% active substance (the worst case concentration regarding efficacy).</w:t>
      </w:r>
    </w:p>
    <w:p w14:paraId="1CA2BA08" w14:textId="77777777" w:rsidR="00D20AA9" w:rsidRPr="00D20AA9" w:rsidRDefault="00D20AA9" w:rsidP="00D20AA9">
      <w:pPr>
        <w:widowControl w:val="0"/>
        <w:spacing w:before="120" w:after="120"/>
        <w:rPr>
          <w:snapToGrid w:val="0"/>
          <w:szCs w:val="24"/>
          <w:lang w:eastAsia="fi-FI"/>
        </w:rPr>
      </w:pPr>
      <w:r w:rsidRPr="00D20AA9">
        <w:rPr>
          <w:snapToGrid w:val="0"/>
          <w:szCs w:val="24"/>
          <w:lang w:eastAsia="fi-FI"/>
        </w:rPr>
        <w:t xml:space="preserve">However, there is another use (use 2) some potential products of the BPF are currently used </w:t>
      </w:r>
      <w:r w:rsidR="00AA55BA">
        <w:rPr>
          <w:snapToGrid w:val="0"/>
          <w:szCs w:val="24"/>
          <w:lang w:eastAsia="fi-FI"/>
        </w:rPr>
        <w:t>by n</w:t>
      </w:r>
      <w:r w:rsidRPr="00D20AA9">
        <w:rPr>
          <w:snapToGrid w:val="0"/>
          <w:szCs w:val="24"/>
          <w:lang w:eastAsia="fi-FI"/>
        </w:rPr>
        <w:t>on-professional users against the same target organisms as professional users.</w:t>
      </w:r>
    </w:p>
    <w:p w14:paraId="29C7869F" w14:textId="77777777" w:rsidR="006211ED" w:rsidRDefault="00D20AA9" w:rsidP="00D20AA9">
      <w:pPr>
        <w:widowControl w:val="0"/>
        <w:spacing w:before="120" w:after="120"/>
        <w:rPr>
          <w:snapToGrid w:val="0"/>
          <w:szCs w:val="24"/>
          <w:lang w:eastAsia="fi-FI"/>
        </w:rPr>
      </w:pPr>
      <w:r w:rsidRPr="00D20AA9">
        <w:rPr>
          <w:snapToGrid w:val="0"/>
          <w:szCs w:val="24"/>
          <w:lang w:eastAsia="fi-FI"/>
        </w:rPr>
        <w:t xml:space="preserve">If included in the core the risk assessment this use would have to be based on the worst-case composition (10 % active substance). When using this 10% value, the result of the risk assessment would be as follows: </w:t>
      </w:r>
    </w:p>
    <w:p w14:paraId="668440B3" w14:textId="77777777" w:rsidR="006211ED" w:rsidRDefault="00D20AA9" w:rsidP="006211ED">
      <w:pPr>
        <w:pStyle w:val="Text1"/>
        <w:rPr>
          <w:snapToGrid w:val="0"/>
          <w:lang w:eastAsia="fi-FI"/>
        </w:rPr>
      </w:pPr>
      <w:r w:rsidRPr="00D20AA9">
        <w:rPr>
          <w:snapToGrid w:val="0"/>
          <w:lang w:eastAsia="fi-FI"/>
        </w:rPr>
        <w:t>1. With 10 % active substance PPE would be required for the non-professional user (which is not fo</w:t>
      </w:r>
      <w:r w:rsidR="006211ED">
        <w:rPr>
          <w:snapToGrid w:val="0"/>
          <w:lang w:eastAsia="fi-FI"/>
        </w:rPr>
        <w:t>reseen by the BPR) and,</w:t>
      </w:r>
    </w:p>
    <w:p w14:paraId="7AB3030B" w14:textId="77777777" w:rsidR="006211ED" w:rsidRDefault="00D20AA9" w:rsidP="006211ED">
      <w:pPr>
        <w:pStyle w:val="Text1"/>
        <w:rPr>
          <w:snapToGrid w:val="0"/>
          <w:lang w:eastAsia="fi-FI"/>
        </w:rPr>
      </w:pPr>
      <w:r w:rsidRPr="00D20AA9">
        <w:rPr>
          <w:snapToGrid w:val="0"/>
          <w:lang w:eastAsia="fi-FI"/>
        </w:rPr>
        <w:t>2. The PPE is not necessary with 5 % active substance</w:t>
      </w:r>
    </w:p>
    <w:p w14:paraId="4088AC0A" w14:textId="77777777" w:rsidR="00E1226C" w:rsidRDefault="00D20AA9" w:rsidP="00E1226C">
      <w:pPr>
        <w:rPr>
          <w:snapToGrid w:val="0"/>
          <w:lang w:eastAsia="fi-FI"/>
        </w:rPr>
      </w:pPr>
      <w:r w:rsidRPr="00D20AA9">
        <w:rPr>
          <w:snapToGrid w:val="0"/>
          <w:lang w:eastAsia="fi-FI"/>
        </w:rPr>
        <w:t xml:space="preserve">and so this use </w:t>
      </w:r>
      <w:r w:rsidR="006E44C3">
        <w:rPr>
          <w:snapToGrid w:val="0"/>
          <w:lang w:eastAsia="fi-FI"/>
        </w:rPr>
        <w:t xml:space="preserve">2 </w:t>
      </w:r>
      <w:r w:rsidRPr="00D20AA9">
        <w:rPr>
          <w:snapToGrid w:val="0"/>
          <w:lang w:eastAsia="fi-FI"/>
        </w:rPr>
        <w:t>does not meet the criterion for similar level of risk since the RMMs do not match across the whole composition range of the core (i.e. 5 to 10%) for the non-professional user (see section 4). Therefore, the non-professional use cannot be included within the core.</w:t>
      </w:r>
    </w:p>
    <w:p w14:paraId="563CDCF7" w14:textId="77777777" w:rsidR="00D20AA9" w:rsidRPr="00D20AA9" w:rsidRDefault="00D20AA9" w:rsidP="00E1226C">
      <w:pPr>
        <w:rPr>
          <w:snapToGrid w:val="0"/>
          <w:szCs w:val="24"/>
          <w:lang w:eastAsia="fi-FI"/>
        </w:rPr>
      </w:pPr>
      <w:r w:rsidRPr="00D20AA9">
        <w:rPr>
          <w:snapToGrid w:val="0"/>
          <w:szCs w:val="24"/>
          <w:lang w:eastAsia="fi-FI"/>
        </w:rPr>
        <w:t xml:space="preserve">However, on review of the risk assessment for the non-professional use an active substance concentration of 5 to 7,5 % results in no PPE being required, thereby </w:t>
      </w:r>
      <w:r w:rsidRPr="00D20AA9">
        <w:rPr>
          <w:snapToGrid w:val="0"/>
          <w:szCs w:val="24"/>
          <w:lang w:eastAsia="fi-FI"/>
        </w:rPr>
        <w:lastRenderedPageBreak/>
        <w:t xml:space="preserve">supporting the principles of the BPR and also the requirement for RMMs applicable to both the worst and best-case formulations to be the same </w:t>
      </w:r>
      <w:r w:rsidR="00A80B7A">
        <w:rPr>
          <w:snapToGrid w:val="0"/>
          <w:szCs w:val="24"/>
          <w:lang w:eastAsia="fi-FI"/>
        </w:rPr>
        <w:t>(section 4</w:t>
      </w:r>
      <w:r w:rsidRPr="00D20AA9">
        <w:rPr>
          <w:snapToGrid w:val="0"/>
          <w:szCs w:val="24"/>
          <w:lang w:eastAsia="fi-FI"/>
        </w:rPr>
        <w:t>).</w:t>
      </w:r>
    </w:p>
    <w:p w14:paraId="77F5C7B1" w14:textId="77777777" w:rsidR="00D20AA9" w:rsidRPr="00D20AA9" w:rsidRDefault="00D20AA9" w:rsidP="00E1226C">
      <w:pPr>
        <w:widowControl w:val="0"/>
        <w:spacing w:after="120"/>
        <w:rPr>
          <w:snapToGrid w:val="0"/>
          <w:szCs w:val="24"/>
          <w:lang w:eastAsia="fi-FI"/>
        </w:rPr>
      </w:pPr>
      <w:r w:rsidRPr="00D20AA9">
        <w:rPr>
          <w:snapToGrid w:val="0"/>
          <w:szCs w:val="24"/>
          <w:lang w:eastAsia="fi-FI"/>
        </w:rPr>
        <w:t>Therefore, the use can be presented as a subset to the core because the potential products for the non-professional user include the same ingredients with the same or less variation</w:t>
      </w:r>
      <w:r w:rsidR="009179DB">
        <w:rPr>
          <w:snapToGrid w:val="0"/>
          <w:szCs w:val="24"/>
          <w:lang w:eastAsia="fi-FI"/>
        </w:rPr>
        <w:t xml:space="preserve"> as</w:t>
      </w:r>
      <w:r w:rsidRPr="00D20AA9">
        <w:rPr>
          <w:snapToGrid w:val="0"/>
          <w:szCs w:val="24"/>
          <w:lang w:eastAsia="fi-FI"/>
        </w:rPr>
        <w:t xml:space="preserve"> that of the core composition (see </w:t>
      </w:r>
      <w:r w:rsidR="004E6330">
        <w:rPr>
          <w:snapToGrid w:val="0"/>
          <w:szCs w:val="24"/>
          <w:lang w:eastAsia="fi-FI"/>
        </w:rPr>
        <w:t>figure 6</w:t>
      </w:r>
      <w:r w:rsidRPr="00D20AA9">
        <w:rPr>
          <w:snapToGrid w:val="0"/>
          <w:szCs w:val="24"/>
          <w:lang w:eastAsia="fi-FI"/>
        </w:rPr>
        <w:t xml:space="preserve"> above or yellow columns in Table </w:t>
      </w:r>
      <w:r w:rsidR="0077188D">
        <w:rPr>
          <w:snapToGrid w:val="0"/>
          <w:szCs w:val="24"/>
          <w:lang w:eastAsia="fi-FI"/>
        </w:rPr>
        <w:t>7</w:t>
      </w:r>
      <w:r w:rsidRPr="00D20AA9">
        <w:rPr>
          <w:snapToGrid w:val="0"/>
          <w:szCs w:val="24"/>
          <w:lang w:eastAsia="fi-FI"/>
        </w:rPr>
        <w:t xml:space="preserve"> below). In this case</w:t>
      </w:r>
      <w:r w:rsidR="0077188D">
        <w:rPr>
          <w:snapToGrid w:val="0"/>
          <w:szCs w:val="24"/>
          <w:lang w:eastAsia="fi-FI"/>
        </w:rPr>
        <w:t>,</w:t>
      </w:r>
      <w:r w:rsidRPr="00D20AA9">
        <w:rPr>
          <w:snapToGrid w:val="0"/>
          <w:szCs w:val="24"/>
          <w:lang w:eastAsia="fi-FI"/>
        </w:rPr>
        <w:t xml:space="preserve"> the core composition also represents the overall Level 1 family composition range.</w:t>
      </w:r>
    </w:p>
    <w:tbl>
      <w:tblPr>
        <w:tblStyle w:val="TableGrid"/>
        <w:tblW w:w="0" w:type="auto"/>
        <w:tblLook w:val="04A0" w:firstRow="1" w:lastRow="0" w:firstColumn="1" w:lastColumn="0" w:noHBand="0" w:noVBand="1"/>
      </w:tblPr>
      <w:tblGrid>
        <w:gridCol w:w="1620"/>
        <w:gridCol w:w="1696"/>
        <w:gridCol w:w="1374"/>
        <w:gridCol w:w="1386"/>
        <w:gridCol w:w="1373"/>
        <w:gridCol w:w="1385"/>
      </w:tblGrid>
      <w:tr w:rsidR="002F4E41" w:rsidRPr="00571546" w14:paraId="290E6B03" w14:textId="77777777" w:rsidTr="0087212A">
        <w:tc>
          <w:tcPr>
            <w:tcW w:w="1703" w:type="dxa"/>
            <w:vMerge w:val="restart"/>
            <w:vAlign w:val="center"/>
          </w:tcPr>
          <w:p w14:paraId="2AFADAF2" w14:textId="77777777" w:rsidR="002F4E41" w:rsidRPr="00D35C32" w:rsidRDefault="002F4E41" w:rsidP="0087212A">
            <w:pPr>
              <w:jc w:val="center"/>
              <w:rPr>
                <w:rFonts w:ascii="Times New Roman" w:hAnsi="Times New Roman"/>
                <w:b/>
              </w:rPr>
            </w:pPr>
            <w:r w:rsidRPr="00D35C32">
              <w:rPr>
                <w:rFonts w:ascii="Times New Roman" w:hAnsi="Times New Roman"/>
                <w:b/>
              </w:rPr>
              <w:t>Ingredients</w:t>
            </w:r>
          </w:p>
        </w:tc>
        <w:tc>
          <w:tcPr>
            <w:tcW w:w="1758" w:type="dxa"/>
            <w:vMerge w:val="restart"/>
            <w:vAlign w:val="center"/>
          </w:tcPr>
          <w:p w14:paraId="74AE4350" w14:textId="77777777" w:rsidR="002F4E41" w:rsidRPr="00D35C32" w:rsidRDefault="002F4E41" w:rsidP="0087212A">
            <w:pPr>
              <w:jc w:val="center"/>
              <w:rPr>
                <w:rFonts w:ascii="Times New Roman" w:hAnsi="Times New Roman"/>
                <w:b/>
              </w:rPr>
            </w:pPr>
            <w:r w:rsidRPr="00D35C32">
              <w:rPr>
                <w:rFonts w:ascii="Times New Roman" w:hAnsi="Times New Roman"/>
                <w:b/>
              </w:rPr>
              <w:t>Classification</w:t>
            </w:r>
          </w:p>
        </w:tc>
        <w:tc>
          <w:tcPr>
            <w:tcW w:w="3050" w:type="dxa"/>
            <w:gridSpan w:val="2"/>
            <w:shd w:val="clear" w:color="auto" w:fill="FFC000"/>
            <w:vAlign w:val="center"/>
          </w:tcPr>
          <w:p w14:paraId="5C594640" w14:textId="77777777" w:rsidR="002F4E41" w:rsidRPr="00D35C32" w:rsidRDefault="002F4E41" w:rsidP="00A80B7A">
            <w:pPr>
              <w:spacing w:after="0"/>
              <w:jc w:val="center"/>
              <w:rPr>
                <w:rFonts w:ascii="Times New Roman" w:hAnsi="Times New Roman"/>
                <w:b/>
              </w:rPr>
            </w:pPr>
            <w:r w:rsidRPr="00D35C32">
              <w:rPr>
                <w:rFonts w:ascii="Times New Roman" w:hAnsi="Times New Roman"/>
                <w:b/>
              </w:rPr>
              <w:t>Core</w:t>
            </w:r>
          </w:p>
          <w:p w14:paraId="67E8FE8F" w14:textId="77777777" w:rsidR="002F4E41" w:rsidRPr="00D35C32" w:rsidRDefault="002F4E41" w:rsidP="0087212A">
            <w:pPr>
              <w:jc w:val="center"/>
              <w:rPr>
                <w:rFonts w:ascii="Times New Roman" w:hAnsi="Times New Roman"/>
                <w:b/>
              </w:rPr>
            </w:pPr>
            <w:r w:rsidRPr="00D35C32">
              <w:rPr>
                <w:rFonts w:ascii="Times New Roman" w:hAnsi="Times New Roman"/>
                <w:b/>
              </w:rPr>
              <w:t>composition</w:t>
            </w:r>
          </w:p>
        </w:tc>
        <w:tc>
          <w:tcPr>
            <w:tcW w:w="3059" w:type="dxa"/>
            <w:gridSpan w:val="2"/>
            <w:shd w:val="clear" w:color="auto" w:fill="FFFF00"/>
            <w:vAlign w:val="center"/>
          </w:tcPr>
          <w:p w14:paraId="707A90B5" w14:textId="77777777" w:rsidR="002F4E41" w:rsidRPr="00D35C32" w:rsidRDefault="002F4E41" w:rsidP="0087212A">
            <w:pPr>
              <w:jc w:val="center"/>
              <w:rPr>
                <w:rFonts w:ascii="Times New Roman" w:hAnsi="Times New Roman"/>
                <w:b/>
              </w:rPr>
            </w:pPr>
            <w:r w:rsidRPr="00D35C32">
              <w:rPr>
                <w:rFonts w:ascii="Times New Roman" w:hAnsi="Times New Roman"/>
                <w:b/>
              </w:rPr>
              <w:t>Subset (Different risk)</w:t>
            </w:r>
          </w:p>
        </w:tc>
      </w:tr>
      <w:tr w:rsidR="002F4E41" w:rsidRPr="00571546" w14:paraId="053622BD" w14:textId="77777777" w:rsidTr="0087212A">
        <w:tc>
          <w:tcPr>
            <w:tcW w:w="1703" w:type="dxa"/>
            <w:vMerge/>
            <w:vAlign w:val="center"/>
          </w:tcPr>
          <w:p w14:paraId="292C244A" w14:textId="77777777" w:rsidR="002F4E41" w:rsidRPr="00D35C32" w:rsidRDefault="002F4E41" w:rsidP="0087212A">
            <w:pPr>
              <w:jc w:val="center"/>
              <w:rPr>
                <w:rFonts w:ascii="Times New Roman" w:hAnsi="Times New Roman"/>
              </w:rPr>
            </w:pPr>
          </w:p>
        </w:tc>
        <w:tc>
          <w:tcPr>
            <w:tcW w:w="1758" w:type="dxa"/>
            <w:vMerge/>
            <w:vAlign w:val="center"/>
          </w:tcPr>
          <w:p w14:paraId="1D78E854" w14:textId="77777777" w:rsidR="002F4E41" w:rsidRPr="00D35C32" w:rsidRDefault="002F4E41" w:rsidP="0087212A">
            <w:pPr>
              <w:jc w:val="center"/>
              <w:rPr>
                <w:rFonts w:ascii="Times New Roman" w:hAnsi="Times New Roman"/>
              </w:rPr>
            </w:pPr>
          </w:p>
        </w:tc>
        <w:tc>
          <w:tcPr>
            <w:tcW w:w="1519" w:type="dxa"/>
            <w:shd w:val="clear" w:color="auto" w:fill="FFC000"/>
            <w:vAlign w:val="center"/>
          </w:tcPr>
          <w:p w14:paraId="42758FE5" w14:textId="77777777" w:rsidR="002F4E41" w:rsidRPr="00D35C32" w:rsidRDefault="002F4E41" w:rsidP="0087212A">
            <w:pPr>
              <w:jc w:val="center"/>
              <w:rPr>
                <w:rFonts w:ascii="Times New Roman" w:hAnsi="Times New Roman"/>
                <w:b/>
              </w:rPr>
            </w:pPr>
            <w:r w:rsidRPr="00D35C32">
              <w:rPr>
                <w:rFonts w:ascii="Times New Roman" w:hAnsi="Times New Roman"/>
                <w:b/>
              </w:rPr>
              <w:t>Min (%)</w:t>
            </w:r>
          </w:p>
        </w:tc>
        <w:tc>
          <w:tcPr>
            <w:tcW w:w="1531" w:type="dxa"/>
            <w:shd w:val="clear" w:color="auto" w:fill="FFC000"/>
            <w:vAlign w:val="center"/>
          </w:tcPr>
          <w:p w14:paraId="331E1291" w14:textId="77777777" w:rsidR="002F4E41" w:rsidRPr="00D35C32" w:rsidRDefault="002F4E41" w:rsidP="0087212A">
            <w:pPr>
              <w:jc w:val="center"/>
              <w:rPr>
                <w:rFonts w:ascii="Times New Roman" w:hAnsi="Times New Roman"/>
                <w:b/>
              </w:rPr>
            </w:pPr>
            <w:r w:rsidRPr="00D35C32">
              <w:rPr>
                <w:rFonts w:ascii="Times New Roman" w:hAnsi="Times New Roman"/>
                <w:b/>
              </w:rPr>
              <w:t>Max (%)</w:t>
            </w:r>
          </w:p>
        </w:tc>
        <w:tc>
          <w:tcPr>
            <w:tcW w:w="1525" w:type="dxa"/>
            <w:shd w:val="clear" w:color="auto" w:fill="FFFF00"/>
            <w:vAlign w:val="center"/>
          </w:tcPr>
          <w:p w14:paraId="23BB1E5E" w14:textId="77777777" w:rsidR="002F4E41" w:rsidRPr="00D35C32" w:rsidRDefault="002F4E41" w:rsidP="0087212A">
            <w:pPr>
              <w:jc w:val="center"/>
              <w:rPr>
                <w:rFonts w:ascii="Times New Roman" w:hAnsi="Times New Roman"/>
              </w:rPr>
            </w:pPr>
            <w:r w:rsidRPr="00D35C32">
              <w:rPr>
                <w:rFonts w:ascii="Times New Roman" w:hAnsi="Times New Roman"/>
                <w:b/>
              </w:rPr>
              <w:t>Min (%)</w:t>
            </w:r>
          </w:p>
        </w:tc>
        <w:tc>
          <w:tcPr>
            <w:tcW w:w="1534" w:type="dxa"/>
            <w:shd w:val="clear" w:color="auto" w:fill="FFFF00"/>
            <w:vAlign w:val="center"/>
          </w:tcPr>
          <w:p w14:paraId="5C88BFE2" w14:textId="77777777" w:rsidR="002F4E41" w:rsidRPr="00D35C32" w:rsidRDefault="002F4E41" w:rsidP="0087212A">
            <w:pPr>
              <w:jc w:val="center"/>
              <w:rPr>
                <w:rFonts w:ascii="Times New Roman" w:hAnsi="Times New Roman"/>
              </w:rPr>
            </w:pPr>
            <w:r w:rsidRPr="00D35C32">
              <w:rPr>
                <w:rFonts w:ascii="Times New Roman" w:hAnsi="Times New Roman"/>
                <w:b/>
              </w:rPr>
              <w:t>Max (%)</w:t>
            </w:r>
          </w:p>
        </w:tc>
      </w:tr>
      <w:tr w:rsidR="002F4E41" w:rsidRPr="00571546" w14:paraId="098F022F" w14:textId="77777777" w:rsidTr="0087212A">
        <w:tc>
          <w:tcPr>
            <w:tcW w:w="1703" w:type="dxa"/>
            <w:vAlign w:val="center"/>
          </w:tcPr>
          <w:p w14:paraId="08DF53C7" w14:textId="77777777" w:rsidR="002F4E41" w:rsidRPr="00D35C32" w:rsidRDefault="002F4E41" w:rsidP="0087212A">
            <w:pPr>
              <w:jc w:val="center"/>
              <w:rPr>
                <w:rFonts w:ascii="Times New Roman" w:hAnsi="Times New Roman"/>
              </w:rPr>
            </w:pPr>
            <w:r w:rsidRPr="00D35C32">
              <w:rPr>
                <w:rFonts w:ascii="Times New Roman" w:hAnsi="Times New Roman"/>
              </w:rPr>
              <w:t>Active Substance</w:t>
            </w:r>
          </w:p>
        </w:tc>
        <w:tc>
          <w:tcPr>
            <w:tcW w:w="1758" w:type="dxa"/>
            <w:vAlign w:val="center"/>
          </w:tcPr>
          <w:p w14:paraId="7A9DA5B9" w14:textId="77777777" w:rsidR="002F4E41" w:rsidRPr="00D35C32" w:rsidRDefault="002F4E41" w:rsidP="0087212A">
            <w:pPr>
              <w:jc w:val="center"/>
              <w:rPr>
                <w:rFonts w:ascii="Times New Roman" w:hAnsi="Times New Roman"/>
              </w:rPr>
            </w:pPr>
            <w:r w:rsidRPr="00D35C32">
              <w:rPr>
                <w:rFonts w:ascii="Times New Roman" w:hAnsi="Times New Roman"/>
              </w:rPr>
              <w:t>XYZ</w:t>
            </w:r>
          </w:p>
        </w:tc>
        <w:tc>
          <w:tcPr>
            <w:tcW w:w="1519" w:type="dxa"/>
            <w:shd w:val="clear" w:color="auto" w:fill="FFC000"/>
            <w:vAlign w:val="center"/>
          </w:tcPr>
          <w:p w14:paraId="0CEB9F66" w14:textId="77777777" w:rsidR="002F4E41" w:rsidRPr="00D35C32" w:rsidRDefault="002F4E41" w:rsidP="0087212A">
            <w:pPr>
              <w:jc w:val="center"/>
              <w:rPr>
                <w:rFonts w:ascii="Times New Roman" w:hAnsi="Times New Roman"/>
              </w:rPr>
            </w:pPr>
            <w:r w:rsidRPr="00D35C32">
              <w:rPr>
                <w:rFonts w:ascii="Times New Roman" w:hAnsi="Times New Roman"/>
              </w:rPr>
              <w:t>5</w:t>
            </w:r>
          </w:p>
        </w:tc>
        <w:tc>
          <w:tcPr>
            <w:tcW w:w="1531" w:type="dxa"/>
            <w:shd w:val="clear" w:color="auto" w:fill="FFC000"/>
            <w:vAlign w:val="center"/>
          </w:tcPr>
          <w:p w14:paraId="464EC2D4" w14:textId="77777777" w:rsidR="002F4E41" w:rsidRPr="00D35C32" w:rsidRDefault="002F4E41" w:rsidP="0087212A">
            <w:pPr>
              <w:jc w:val="center"/>
              <w:rPr>
                <w:rFonts w:ascii="Times New Roman" w:hAnsi="Times New Roman"/>
              </w:rPr>
            </w:pPr>
            <w:r w:rsidRPr="00D35C32">
              <w:rPr>
                <w:rFonts w:ascii="Times New Roman" w:hAnsi="Times New Roman"/>
              </w:rPr>
              <w:t>10</w:t>
            </w:r>
          </w:p>
        </w:tc>
        <w:tc>
          <w:tcPr>
            <w:tcW w:w="1525" w:type="dxa"/>
            <w:shd w:val="clear" w:color="auto" w:fill="FFFF00"/>
            <w:vAlign w:val="center"/>
          </w:tcPr>
          <w:p w14:paraId="56951063" w14:textId="77777777" w:rsidR="002F4E41" w:rsidRPr="00D35C32" w:rsidRDefault="002F4E41" w:rsidP="0087212A">
            <w:pPr>
              <w:jc w:val="center"/>
              <w:rPr>
                <w:rFonts w:ascii="Times New Roman" w:hAnsi="Times New Roman"/>
              </w:rPr>
            </w:pPr>
            <w:r w:rsidRPr="00D35C32">
              <w:rPr>
                <w:rFonts w:ascii="Times New Roman" w:hAnsi="Times New Roman"/>
              </w:rPr>
              <w:t>5</w:t>
            </w:r>
          </w:p>
        </w:tc>
        <w:tc>
          <w:tcPr>
            <w:tcW w:w="1534" w:type="dxa"/>
            <w:shd w:val="clear" w:color="auto" w:fill="FFFF00"/>
            <w:vAlign w:val="center"/>
          </w:tcPr>
          <w:p w14:paraId="2FA289D8" w14:textId="77777777" w:rsidR="002F4E41" w:rsidRPr="00D35C32" w:rsidRDefault="002F4E41" w:rsidP="0087212A">
            <w:pPr>
              <w:jc w:val="center"/>
              <w:rPr>
                <w:rFonts w:ascii="Times New Roman" w:hAnsi="Times New Roman"/>
              </w:rPr>
            </w:pPr>
            <w:r w:rsidRPr="00D35C32">
              <w:rPr>
                <w:rFonts w:ascii="Times New Roman" w:hAnsi="Times New Roman"/>
              </w:rPr>
              <w:t>7,5</w:t>
            </w:r>
          </w:p>
        </w:tc>
      </w:tr>
      <w:tr w:rsidR="002F4E41" w:rsidRPr="00571546" w14:paraId="239D8E18" w14:textId="77777777" w:rsidTr="0087212A">
        <w:tc>
          <w:tcPr>
            <w:tcW w:w="1703" w:type="dxa"/>
            <w:vAlign w:val="center"/>
          </w:tcPr>
          <w:p w14:paraId="4E5368F7" w14:textId="77777777" w:rsidR="002F4E41" w:rsidRPr="00D35C32" w:rsidRDefault="002F4E41" w:rsidP="0087212A">
            <w:pPr>
              <w:jc w:val="center"/>
              <w:rPr>
                <w:rFonts w:ascii="Times New Roman" w:hAnsi="Times New Roman"/>
              </w:rPr>
            </w:pPr>
            <w:r w:rsidRPr="00D35C32">
              <w:rPr>
                <w:rFonts w:ascii="Times New Roman" w:hAnsi="Times New Roman"/>
              </w:rPr>
              <w:t>Solvent</w:t>
            </w:r>
          </w:p>
        </w:tc>
        <w:tc>
          <w:tcPr>
            <w:tcW w:w="1758" w:type="dxa"/>
            <w:vAlign w:val="center"/>
          </w:tcPr>
          <w:p w14:paraId="70EEA5CB" w14:textId="77777777" w:rsidR="002F4E41" w:rsidRPr="00D35C32" w:rsidRDefault="002F4E41" w:rsidP="0087212A">
            <w:pPr>
              <w:jc w:val="center"/>
              <w:rPr>
                <w:rFonts w:ascii="Times New Roman" w:hAnsi="Times New Roman"/>
              </w:rPr>
            </w:pPr>
            <w:r w:rsidRPr="00D35C32">
              <w:rPr>
                <w:rFonts w:ascii="Times New Roman" w:hAnsi="Times New Roman"/>
              </w:rPr>
              <w:t>SoC ENV</w:t>
            </w:r>
          </w:p>
        </w:tc>
        <w:tc>
          <w:tcPr>
            <w:tcW w:w="1519" w:type="dxa"/>
            <w:shd w:val="clear" w:color="auto" w:fill="FFC000"/>
            <w:vAlign w:val="center"/>
          </w:tcPr>
          <w:p w14:paraId="0E5B4354" w14:textId="77777777" w:rsidR="002F4E41" w:rsidRPr="00D35C32" w:rsidRDefault="002F4E41" w:rsidP="0087212A">
            <w:pPr>
              <w:jc w:val="center"/>
              <w:rPr>
                <w:rFonts w:ascii="Times New Roman" w:hAnsi="Times New Roman"/>
              </w:rPr>
            </w:pPr>
            <w:r w:rsidRPr="00D35C32">
              <w:rPr>
                <w:rFonts w:ascii="Times New Roman" w:hAnsi="Times New Roman"/>
              </w:rPr>
              <w:t>75</w:t>
            </w:r>
          </w:p>
        </w:tc>
        <w:tc>
          <w:tcPr>
            <w:tcW w:w="1531" w:type="dxa"/>
            <w:shd w:val="clear" w:color="auto" w:fill="FFC000"/>
            <w:vAlign w:val="center"/>
          </w:tcPr>
          <w:p w14:paraId="5E329441" w14:textId="77777777" w:rsidR="002F4E41" w:rsidRPr="00D35C32" w:rsidRDefault="002F4E41" w:rsidP="0087212A">
            <w:pPr>
              <w:jc w:val="center"/>
              <w:rPr>
                <w:rFonts w:ascii="Times New Roman" w:hAnsi="Times New Roman"/>
              </w:rPr>
            </w:pPr>
            <w:r w:rsidRPr="00D35C32">
              <w:rPr>
                <w:rFonts w:ascii="Times New Roman" w:hAnsi="Times New Roman"/>
              </w:rPr>
              <w:t>85</w:t>
            </w:r>
          </w:p>
        </w:tc>
        <w:tc>
          <w:tcPr>
            <w:tcW w:w="1525" w:type="dxa"/>
            <w:shd w:val="clear" w:color="auto" w:fill="FFFF00"/>
            <w:vAlign w:val="center"/>
          </w:tcPr>
          <w:p w14:paraId="556E57EE" w14:textId="77777777" w:rsidR="002F4E41" w:rsidRPr="00D35C32" w:rsidRDefault="002F4E41" w:rsidP="0087212A">
            <w:pPr>
              <w:jc w:val="center"/>
              <w:rPr>
                <w:rFonts w:ascii="Times New Roman" w:hAnsi="Times New Roman"/>
              </w:rPr>
            </w:pPr>
            <w:r w:rsidRPr="00D35C32">
              <w:rPr>
                <w:rFonts w:ascii="Times New Roman" w:hAnsi="Times New Roman"/>
              </w:rPr>
              <w:t>77,5</w:t>
            </w:r>
          </w:p>
        </w:tc>
        <w:tc>
          <w:tcPr>
            <w:tcW w:w="1534" w:type="dxa"/>
            <w:shd w:val="clear" w:color="auto" w:fill="FFFF00"/>
            <w:vAlign w:val="center"/>
          </w:tcPr>
          <w:p w14:paraId="053028E5" w14:textId="77777777" w:rsidR="002F4E41" w:rsidRPr="00D35C32" w:rsidRDefault="002F4E41" w:rsidP="0087212A">
            <w:pPr>
              <w:jc w:val="center"/>
              <w:rPr>
                <w:rFonts w:ascii="Times New Roman" w:hAnsi="Times New Roman"/>
              </w:rPr>
            </w:pPr>
            <w:r w:rsidRPr="00D35C32">
              <w:rPr>
                <w:rFonts w:ascii="Times New Roman" w:hAnsi="Times New Roman"/>
              </w:rPr>
              <w:t>80</w:t>
            </w:r>
          </w:p>
        </w:tc>
      </w:tr>
      <w:tr w:rsidR="002F4E41" w:rsidRPr="00571546" w14:paraId="2EEF51F9" w14:textId="77777777" w:rsidTr="0087212A">
        <w:tc>
          <w:tcPr>
            <w:tcW w:w="1703" w:type="dxa"/>
            <w:vAlign w:val="center"/>
          </w:tcPr>
          <w:p w14:paraId="6E60EB55" w14:textId="77777777" w:rsidR="002F4E41" w:rsidRPr="00D35C32" w:rsidRDefault="002F4E41" w:rsidP="0087212A">
            <w:pPr>
              <w:jc w:val="center"/>
              <w:rPr>
                <w:rFonts w:ascii="Times New Roman" w:hAnsi="Times New Roman"/>
              </w:rPr>
            </w:pPr>
            <w:r w:rsidRPr="00D35C32">
              <w:rPr>
                <w:rFonts w:ascii="Times New Roman" w:hAnsi="Times New Roman"/>
              </w:rPr>
              <w:t>Co-formulant 1</w:t>
            </w:r>
          </w:p>
        </w:tc>
        <w:tc>
          <w:tcPr>
            <w:tcW w:w="1758" w:type="dxa"/>
            <w:vAlign w:val="center"/>
          </w:tcPr>
          <w:p w14:paraId="17311A10" w14:textId="77777777" w:rsidR="002F4E41" w:rsidRPr="00D35C32" w:rsidRDefault="002F4E41" w:rsidP="0087212A">
            <w:pPr>
              <w:jc w:val="center"/>
              <w:rPr>
                <w:rFonts w:ascii="Times New Roman" w:hAnsi="Times New Roman"/>
              </w:rPr>
            </w:pPr>
            <w:r w:rsidRPr="00D35C32">
              <w:rPr>
                <w:rFonts w:ascii="Times New Roman" w:hAnsi="Times New Roman"/>
              </w:rPr>
              <w:t>SoC HH</w:t>
            </w:r>
          </w:p>
        </w:tc>
        <w:tc>
          <w:tcPr>
            <w:tcW w:w="1519" w:type="dxa"/>
            <w:shd w:val="clear" w:color="auto" w:fill="FFC000"/>
            <w:vAlign w:val="center"/>
          </w:tcPr>
          <w:p w14:paraId="51C186CB" w14:textId="77777777" w:rsidR="002F4E41" w:rsidRPr="00D35C32" w:rsidRDefault="002F4E41" w:rsidP="0087212A">
            <w:pPr>
              <w:jc w:val="center"/>
              <w:rPr>
                <w:rFonts w:ascii="Times New Roman" w:hAnsi="Times New Roman"/>
              </w:rPr>
            </w:pPr>
            <w:r w:rsidRPr="00D35C32">
              <w:rPr>
                <w:rFonts w:ascii="Times New Roman" w:hAnsi="Times New Roman"/>
              </w:rPr>
              <w:t>5</w:t>
            </w:r>
          </w:p>
        </w:tc>
        <w:tc>
          <w:tcPr>
            <w:tcW w:w="1531" w:type="dxa"/>
            <w:shd w:val="clear" w:color="auto" w:fill="FFC000"/>
            <w:vAlign w:val="center"/>
          </w:tcPr>
          <w:p w14:paraId="085CEF51" w14:textId="77777777" w:rsidR="002F4E41" w:rsidRPr="00D35C32" w:rsidRDefault="002F4E41" w:rsidP="0087212A">
            <w:pPr>
              <w:jc w:val="center"/>
              <w:rPr>
                <w:rFonts w:ascii="Times New Roman" w:hAnsi="Times New Roman"/>
              </w:rPr>
            </w:pPr>
            <w:r w:rsidRPr="00D35C32">
              <w:rPr>
                <w:rFonts w:ascii="Times New Roman" w:hAnsi="Times New Roman"/>
              </w:rPr>
              <w:t>10</w:t>
            </w:r>
          </w:p>
        </w:tc>
        <w:tc>
          <w:tcPr>
            <w:tcW w:w="1525" w:type="dxa"/>
            <w:shd w:val="clear" w:color="auto" w:fill="FFFF00"/>
            <w:vAlign w:val="center"/>
          </w:tcPr>
          <w:p w14:paraId="7055BA88" w14:textId="77777777" w:rsidR="002F4E41" w:rsidRPr="00D35C32" w:rsidRDefault="002F4E41" w:rsidP="0087212A">
            <w:pPr>
              <w:jc w:val="center"/>
              <w:rPr>
                <w:rFonts w:ascii="Times New Roman" w:hAnsi="Times New Roman"/>
              </w:rPr>
            </w:pPr>
            <w:r w:rsidRPr="00D35C32">
              <w:rPr>
                <w:rFonts w:ascii="Times New Roman" w:hAnsi="Times New Roman"/>
              </w:rPr>
              <w:t>10</w:t>
            </w:r>
          </w:p>
        </w:tc>
        <w:tc>
          <w:tcPr>
            <w:tcW w:w="1534" w:type="dxa"/>
            <w:shd w:val="clear" w:color="auto" w:fill="FFFF00"/>
            <w:vAlign w:val="center"/>
          </w:tcPr>
          <w:p w14:paraId="23E1F7E2" w14:textId="77777777" w:rsidR="002F4E41" w:rsidRPr="00D35C32" w:rsidRDefault="002F4E41" w:rsidP="0087212A">
            <w:pPr>
              <w:jc w:val="center"/>
              <w:rPr>
                <w:rFonts w:ascii="Times New Roman" w:hAnsi="Times New Roman"/>
              </w:rPr>
            </w:pPr>
            <w:r w:rsidRPr="00D35C32">
              <w:rPr>
                <w:rFonts w:ascii="Times New Roman" w:hAnsi="Times New Roman"/>
              </w:rPr>
              <w:t>10</w:t>
            </w:r>
          </w:p>
        </w:tc>
      </w:tr>
      <w:tr w:rsidR="002F4E41" w:rsidRPr="00571546" w14:paraId="269BC403" w14:textId="77777777" w:rsidTr="0087212A">
        <w:tc>
          <w:tcPr>
            <w:tcW w:w="1703" w:type="dxa"/>
            <w:vAlign w:val="center"/>
          </w:tcPr>
          <w:p w14:paraId="2E289221" w14:textId="77777777" w:rsidR="002F4E41" w:rsidRPr="00D35C32" w:rsidRDefault="002F4E41" w:rsidP="0087212A">
            <w:pPr>
              <w:jc w:val="center"/>
              <w:rPr>
                <w:rFonts w:ascii="Times New Roman" w:hAnsi="Times New Roman"/>
              </w:rPr>
            </w:pPr>
            <w:r w:rsidRPr="00D35C32">
              <w:rPr>
                <w:rFonts w:ascii="Times New Roman" w:hAnsi="Times New Roman"/>
              </w:rPr>
              <w:t>PPD</w:t>
            </w:r>
          </w:p>
        </w:tc>
        <w:tc>
          <w:tcPr>
            <w:tcW w:w="1758" w:type="dxa"/>
            <w:vAlign w:val="center"/>
          </w:tcPr>
          <w:p w14:paraId="657AB934" w14:textId="77777777" w:rsidR="002F4E41" w:rsidRPr="00D35C32" w:rsidRDefault="002F4E41" w:rsidP="0087212A">
            <w:pPr>
              <w:jc w:val="center"/>
              <w:rPr>
                <w:rFonts w:ascii="Times New Roman" w:hAnsi="Times New Roman"/>
              </w:rPr>
            </w:pPr>
            <w:r w:rsidRPr="00D35C32">
              <w:rPr>
                <w:rFonts w:ascii="Times New Roman" w:hAnsi="Times New Roman"/>
              </w:rPr>
              <w:t>-</w:t>
            </w:r>
          </w:p>
        </w:tc>
        <w:tc>
          <w:tcPr>
            <w:tcW w:w="1519" w:type="dxa"/>
            <w:shd w:val="clear" w:color="auto" w:fill="FFC000"/>
            <w:vAlign w:val="center"/>
          </w:tcPr>
          <w:p w14:paraId="301FE917" w14:textId="77777777" w:rsidR="002F4E41" w:rsidRPr="00D35C32" w:rsidRDefault="002F4E41" w:rsidP="0087212A">
            <w:pPr>
              <w:jc w:val="center"/>
              <w:rPr>
                <w:rFonts w:ascii="Times New Roman" w:hAnsi="Times New Roman"/>
              </w:rPr>
            </w:pPr>
            <w:r w:rsidRPr="00D35C32">
              <w:rPr>
                <w:rFonts w:ascii="Times New Roman" w:hAnsi="Times New Roman"/>
              </w:rPr>
              <w:t>5</w:t>
            </w:r>
          </w:p>
        </w:tc>
        <w:tc>
          <w:tcPr>
            <w:tcW w:w="1531" w:type="dxa"/>
            <w:shd w:val="clear" w:color="auto" w:fill="FFC000"/>
            <w:vAlign w:val="center"/>
          </w:tcPr>
          <w:p w14:paraId="533DF218" w14:textId="77777777" w:rsidR="002F4E41" w:rsidRPr="00D35C32" w:rsidRDefault="002F4E41" w:rsidP="0087212A">
            <w:pPr>
              <w:jc w:val="center"/>
              <w:rPr>
                <w:rFonts w:ascii="Times New Roman" w:hAnsi="Times New Roman"/>
              </w:rPr>
            </w:pPr>
            <w:r w:rsidRPr="00D35C32">
              <w:rPr>
                <w:rFonts w:ascii="Times New Roman" w:hAnsi="Times New Roman"/>
              </w:rPr>
              <w:t>5</w:t>
            </w:r>
          </w:p>
        </w:tc>
        <w:tc>
          <w:tcPr>
            <w:tcW w:w="1525" w:type="dxa"/>
            <w:shd w:val="clear" w:color="auto" w:fill="FFFF00"/>
            <w:vAlign w:val="center"/>
          </w:tcPr>
          <w:p w14:paraId="0A7D5B4A" w14:textId="77777777" w:rsidR="002F4E41" w:rsidRPr="00D35C32" w:rsidRDefault="002F4E41" w:rsidP="0087212A">
            <w:pPr>
              <w:jc w:val="center"/>
              <w:rPr>
                <w:rFonts w:ascii="Times New Roman" w:hAnsi="Times New Roman"/>
              </w:rPr>
            </w:pPr>
            <w:r w:rsidRPr="00D35C32">
              <w:rPr>
                <w:rFonts w:ascii="Times New Roman" w:hAnsi="Times New Roman"/>
              </w:rPr>
              <w:t>5</w:t>
            </w:r>
          </w:p>
        </w:tc>
        <w:tc>
          <w:tcPr>
            <w:tcW w:w="1534" w:type="dxa"/>
            <w:shd w:val="clear" w:color="auto" w:fill="FFFF00"/>
            <w:vAlign w:val="center"/>
          </w:tcPr>
          <w:p w14:paraId="0623CDD3" w14:textId="77777777" w:rsidR="002F4E41" w:rsidRPr="00D35C32" w:rsidRDefault="002F4E41" w:rsidP="0087212A">
            <w:pPr>
              <w:jc w:val="center"/>
              <w:rPr>
                <w:rFonts w:ascii="Times New Roman" w:hAnsi="Times New Roman"/>
              </w:rPr>
            </w:pPr>
            <w:r w:rsidRPr="00D35C32">
              <w:rPr>
                <w:rFonts w:ascii="Times New Roman" w:hAnsi="Times New Roman"/>
              </w:rPr>
              <w:t>5</w:t>
            </w:r>
          </w:p>
        </w:tc>
      </w:tr>
      <w:tr w:rsidR="002F4E41" w:rsidRPr="00571546" w14:paraId="18414A51" w14:textId="77777777" w:rsidTr="0087212A">
        <w:tc>
          <w:tcPr>
            <w:tcW w:w="3461" w:type="dxa"/>
            <w:gridSpan w:val="2"/>
            <w:vMerge w:val="restart"/>
            <w:vAlign w:val="center"/>
          </w:tcPr>
          <w:p w14:paraId="40BB6EF2" w14:textId="77777777" w:rsidR="002F4E41" w:rsidRPr="00D35C32" w:rsidRDefault="002F4E41" w:rsidP="0087212A">
            <w:pPr>
              <w:jc w:val="center"/>
              <w:rPr>
                <w:rFonts w:ascii="Times New Roman" w:hAnsi="Times New Roman"/>
                <w:b/>
              </w:rPr>
            </w:pPr>
            <w:r w:rsidRPr="00D35C32">
              <w:rPr>
                <w:rFonts w:ascii="Times New Roman" w:hAnsi="Times New Roman"/>
                <w:b/>
              </w:rPr>
              <w:t>Uses</w:t>
            </w:r>
          </w:p>
        </w:tc>
        <w:tc>
          <w:tcPr>
            <w:tcW w:w="3050" w:type="dxa"/>
            <w:gridSpan w:val="2"/>
            <w:shd w:val="clear" w:color="auto" w:fill="FFC000"/>
            <w:vAlign w:val="center"/>
          </w:tcPr>
          <w:p w14:paraId="719C1B2B" w14:textId="77777777" w:rsidR="002F4E41" w:rsidRPr="00D35C32" w:rsidRDefault="002F4E41" w:rsidP="0087212A">
            <w:pPr>
              <w:jc w:val="center"/>
              <w:rPr>
                <w:rFonts w:ascii="Times New Roman" w:hAnsi="Times New Roman"/>
              </w:rPr>
            </w:pPr>
            <w:r w:rsidRPr="00D35C32">
              <w:rPr>
                <w:rFonts w:ascii="Times New Roman" w:hAnsi="Times New Roman"/>
              </w:rPr>
              <w:t>1: Professional user</w:t>
            </w:r>
          </w:p>
          <w:p w14:paraId="0CCB37FC" w14:textId="77777777" w:rsidR="002F4E41" w:rsidRPr="00D35C32" w:rsidRDefault="002F4E41" w:rsidP="0087212A">
            <w:pPr>
              <w:jc w:val="center"/>
              <w:rPr>
                <w:rFonts w:ascii="Times New Roman" w:hAnsi="Times New Roman"/>
              </w:rPr>
            </w:pPr>
            <w:r w:rsidRPr="00D35C32">
              <w:rPr>
                <w:rFonts w:ascii="Times New Roman" w:hAnsi="Times New Roman"/>
              </w:rPr>
              <w:t>PPE: Gloves and mask</w:t>
            </w:r>
          </w:p>
        </w:tc>
        <w:tc>
          <w:tcPr>
            <w:tcW w:w="3059" w:type="dxa"/>
            <w:gridSpan w:val="2"/>
            <w:shd w:val="clear" w:color="auto" w:fill="FFFF00"/>
            <w:vAlign w:val="center"/>
          </w:tcPr>
          <w:p w14:paraId="6B2F7FA8" w14:textId="77777777" w:rsidR="002F4E41" w:rsidRPr="00D35C32" w:rsidRDefault="002F4E41" w:rsidP="0087212A">
            <w:pPr>
              <w:jc w:val="center"/>
              <w:rPr>
                <w:rFonts w:ascii="Times New Roman" w:hAnsi="Times New Roman"/>
              </w:rPr>
            </w:pPr>
            <w:r w:rsidRPr="00D35C32">
              <w:rPr>
                <w:rFonts w:ascii="Times New Roman" w:hAnsi="Times New Roman"/>
              </w:rPr>
              <w:t>-</w:t>
            </w:r>
          </w:p>
        </w:tc>
      </w:tr>
      <w:tr w:rsidR="002F4E41" w:rsidRPr="00A07847" w14:paraId="35F8A6F2" w14:textId="77777777" w:rsidTr="0087212A">
        <w:trPr>
          <w:trHeight w:val="58"/>
        </w:trPr>
        <w:tc>
          <w:tcPr>
            <w:tcW w:w="3461" w:type="dxa"/>
            <w:gridSpan w:val="2"/>
            <w:vMerge/>
            <w:vAlign w:val="center"/>
          </w:tcPr>
          <w:p w14:paraId="1BCCC9B0" w14:textId="77777777" w:rsidR="002F4E41" w:rsidRPr="00D35C32" w:rsidRDefault="002F4E41" w:rsidP="0087212A">
            <w:pPr>
              <w:jc w:val="center"/>
              <w:rPr>
                <w:rFonts w:ascii="Times New Roman" w:hAnsi="Times New Roman"/>
                <w:b/>
                <w:color w:val="FF0000"/>
              </w:rPr>
            </w:pPr>
          </w:p>
        </w:tc>
        <w:tc>
          <w:tcPr>
            <w:tcW w:w="3050" w:type="dxa"/>
            <w:gridSpan w:val="2"/>
            <w:shd w:val="clear" w:color="auto" w:fill="FFC000"/>
            <w:vAlign w:val="center"/>
          </w:tcPr>
          <w:p w14:paraId="1A622AA0" w14:textId="77777777" w:rsidR="002F4E41" w:rsidRPr="00D35C32" w:rsidRDefault="002F4E41" w:rsidP="0087212A">
            <w:pPr>
              <w:jc w:val="center"/>
              <w:rPr>
                <w:rFonts w:ascii="Times New Roman" w:hAnsi="Times New Roman"/>
              </w:rPr>
            </w:pPr>
            <w:r w:rsidRPr="00D35C32">
              <w:rPr>
                <w:rFonts w:ascii="Times New Roman" w:hAnsi="Times New Roman"/>
              </w:rPr>
              <w:t>-</w:t>
            </w:r>
          </w:p>
        </w:tc>
        <w:tc>
          <w:tcPr>
            <w:tcW w:w="3059" w:type="dxa"/>
            <w:gridSpan w:val="2"/>
            <w:shd w:val="clear" w:color="auto" w:fill="FFFF00"/>
            <w:vAlign w:val="center"/>
          </w:tcPr>
          <w:p w14:paraId="4309ECC1" w14:textId="77777777" w:rsidR="002F4E41" w:rsidRPr="00D35C32" w:rsidRDefault="002F4E41" w:rsidP="0087212A">
            <w:pPr>
              <w:jc w:val="center"/>
              <w:rPr>
                <w:rFonts w:ascii="Times New Roman" w:hAnsi="Times New Roman"/>
                <w:lang w:val="it-IT"/>
              </w:rPr>
            </w:pPr>
            <w:r w:rsidRPr="00D35C32">
              <w:rPr>
                <w:rFonts w:ascii="Times New Roman" w:hAnsi="Times New Roman"/>
                <w:lang w:val="it-IT"/>
              </w:rPr>
              <w:t>2: Non-professional user</w:t>
            </w:r>
          </w:p>
          <w:p w14:paraId="6ECC7D87" w14:textId="77777777" w:rsidR="002F4E41" w:rsidRPr="00D35C32" w:rsidRDefault="002F4E41" w:rsidP="0087212A">
            <w:pPr>
              <w:jc w:val="center"/>
              <w:rPr>
                <w:rFonts w:ascii="Times New Roman" w:hAnsi="Times New Roman"/>
                <w:lang w:val="it-IT"/>
              </w:rPr>
            </w:pPr>
            <w:r w:rsidRPr="00D35C32">
              <w:rPr>
                <w:rFonts w:ascii="Times New Roman" w:hAnsi="Times New Roman"/>
                <w:lang w:val="it-IT"/>
              </w:rPr>
              <w:t>No PPE</w:t>
            </w:r>
          </w:p>
        </w:tc>
      </w:tr>
    </w:tbl>
    <w:p w14:paraId="1F2951FB" w14:textId="77777777" w:rsidR="00D20AA9" w:rsidRPr="004D448C" w:rsidRDefault="00D20AA9" w:rsidP="00D20AA9">
      <w:pPr>
        <w:widowControl w:val="0"/>
        <w:spacing w:before="120" w:after="120"/>
        <w:rPr>
          <w:snapToGrid w:val="0"/>
          <w:szCs w:val="24"/>
          <w:lang w:eastAsia="fi-FI"/>
        </w:rPr>
      </w:pPr>
      <w:r w:rsidRPr="002F4E41">
        <w:rPr>
          <w:b/>
          <w:snapToGrid w:val="0"/>
          <w:szCs w:val="24"/>
          <w:lang w:eastAsia="fi-FI"/>
        </w:rPr>
        <w:t xml:space="preserve">Table </w:t>
      </w:r>
      <w:r w:rsidR="001E14DE">
        <w:rPr>
          <w:b/>
          <w:snapToGrid w:val="0"/>
          <w:szCs w:val="24"/>
          <w:lang w:eastAsia="fi-FI"/>
        </w:rPr>
        <w:t>7</w:t>
      </w:r>
      <w:r w:rsidRPr="002F4E41">
        <w:rPr>
          <w:b/>
          <w:snapToGrid w:val="0"/>
          <w:szCs w:val="24"/>
          <w:lang w:eastAsia="fi-FI"/>
        </w:rPr>
        <w:t xml:space="preserve">: </w:t>
      </w:r>
      <w:r w:rsidR="0077188D" w:rsidRPr="004D448C">
        <w:rPr>
          <w:snapToGrid w:val="0"/>
          <w:szCs w:val="24"/>
          <w:lang w:eastAsia="fi-FI"/>
        </w:rPr>
        <w:t xml:space="preserve">example </w:t>
      </w:r>
      <w:r w:rsidR="004D448C" w:rsidRPr="004D448C">
        <w:rPr>
          <w:snapToGrid w:val="0"/>
          <w:szCs w:val="24"/>
          <w:lang w:eastAsia="fi-FI"/>
        </w:rPr>
        <w:t>of a subset</w:t>
      </w:r>
      <w:r w:rsidR="004D448C">
        <w:rPr>
          <w:snapToGrid w:val="0"/>
          <w:szCs w:val="24"/>
          <w:lang w:eastAsia="fi-FI"/>
        </w:rPr>
        <w:t xml:space="preserve"> refinement </w:t>
      </w:r>
      <w:r w:rsidR="000A05E7">
        <w:rPr>
          <w:snapToGrid w:val="0"/>
          <w:szCs w:val="24"/>
          <w:lang w:eastAsia="fi-FI"/>
        </w:rPr>
        <w:t xml:space="preserve">covering </w:t>
      </w:r>
      <w:r w:rsidR="004D448C">
        <w:rPr>
          <w:snapToGrid w:val="0"/>
          <w:szCs w:val="24"/>
          <w:lang w:eastAsia="fi-FI"/>
        </w:rPr>
        <w:t>a different level of risks</w:t>
      </w:r>
    </w:p>
    <w:p w14:paraId="0F3AC947" w14:textId="77777777" w:rsidR="009179DB" w:rsidRDefault="00D20AA9" w:rsidP="00D20AA9">
      <w:pPr>
        <w:widowControl w:val="0"/>
        <w:spacing w:before="120" w:after="120"/>
        <w:rPr>
          <w:snapToGrid w:val="0"/>
          <w:szCs w:val="24"/>
          <w:lang w:eastAsia="fi-FI"/>
        </w:rPr>
      </w:pPr>
      <w:r w:rsidRPr="00D20AA9">
        <w:rPr>
          <w:snapToGrid w:val="0"/>
          <w:szCs w:val="24"/>
          <w:lang w:eastAsia="fi-FI"/>
        </w:rPr>
        <w:t>This subset would make only one refinement to the core composition necessary (whether the products can be supported for the non-professional user without PPE across the composition range of 5 to 7,5 % active substance), assuming that all the other areas (environment, phys. chem/hazard and efficacy) are covered already by the assessment of the core.</w:t>
      </w:r>
    </w:p>
    <w:p w14:paraId="5D485A05" w14:textId="77777777" w:rsidR="009179DB" w:rsidRDefault="009179DB" w:rsidP="00D20AA9">
      <w:pPr>
        <w:widowControl w:val="0"/>
        <w:spacing w:before="120" w:after="120"/>
        <w:rPr>
          <w:snapToGrid w:val="0"/>
          <w:szCs w:val="24"/>
          <w:lang w:eastAsia="fi-FI"/>
        </w:rPr>
        <w:sectPr w:rsidR="009179DB" w:rsidSect="00385DDA">
          <w:pgSz w:w="11906" w:h="16838"/>
          <w:pgMar w:top="1020" w:right="1701" w:bottom="1020" w:left="1587" w:header="601" w:footer="1077" w:gutter="0"/>
          <w:cols w:space="720"/>
          <w:titlePg/>
          <w:docGrid w:linePitch="326"/>
        </w:sectPr>
      </w:pPr>
    </w:p>
    <w:p w14:paraId="3BB2589E" w14:textId="77777777" w:rsidR="00432121" w:rsidRPr="00432121" w:rsidRDefault="00432121" w:rsidP="00432121">
      <w:pPr>
        <w:pStyle w:val="Heading1"/>
        <w:numPr>
          <w:ilvl w:val="0"/>
          <w:numId w:val="0"/>
        </w:numPr>
        <w:rPr>
          <w:szCs w:val="24"/>
        </w:rPr>
      </w:pPr>
      <w:r w:rsidRPr="00432121">
        <w:rPr>
          <w:szCs w:val="24"/>
        </w:rPr>
        <w:lastRenderedPageBreak/>
        <w:t>Example regarding subset w</w:t>
      </w:r>
      <w:r w:rsidR="000A05E7">
        <w:rPr>
          <w:szCs w:val="24"/>
        </w:rPr>
        <w:t>ith different level of efficacy</w:t>
      </w:r>
    </w:p>
    <w:p w14:paraId="43FE8754" w14:textId="77777777" w:rsidR="00432121" w:rsidRPr="00432121" w:rsidRDefault="00432121" w:rsidP="00432121">
      <w:pPr>
        <w:rPr>
          <w:szCs w:val="24"/>
        </w:rPr>
      </w:pPr>
      <w:r w:rsidRPr="00432121">
        <w:rPr>
          <w:szCs w:val="24"/>
        </w:rPr>
        <w:t>The BPF applied for includes one active substance (5-10 %) which is dissolved in a solvent (75-85%). In order to keep the active substance in solution co-formulant 1 (5-10%) is needed. The products of the BPF are available with different combinations of pigments, perfumes and dyes (PPD overall always 5%).</w:t>
      </w:r>
    </w:p>
    <w:p w14:paraId="169A8ADE" w14:textId="77777777" w:rsidR="00432121" w:rsidRPr="00432121" w:rsidRDefault="00432121" w:rsidP="00432121">
      <w:pPr>
        <w:widowControl w:val="0"/>
        <w:spacing w:before="120" w:after="120"/>
        <w:jc w:val="center"/>
        <w:rPr>
          <w:rFonts w:ascii="Verdana" w:hAnsi="Verdana"/>
          <w:b/>
          <w:snapToGrid w:val="0"/>
          <w:sz w:val="20"/>
          <w:lang w:eastAsia="fi-FI"/>
        </w:rPr>
      </w:pPr>
      <w:r w:rsidRPr="00432121">
        <w:rPr>
          <w:rFonts w:ascii="Verdana" w:hAnsi="Verdana"/>
          <w:b/>
          <w:noProof/>
          <w:snapToGrid w:val="0"/>
          <w:sz w:val="20"/>
          <w:lang w:val="fr-BE" w:eastAsia="fr-BE"/>
        </w:rPr>
        <w:drawing>
          <wp:inline distT="0" distB="0" distL="0" distR="0" wp14:anchorId="26BCC70E" wp14:editId="332D213B">
            <wp:extent cx="3369600" cy="2635200"/>
            <wp:effectExtent l="0" t="0" r="2540" b="0"/>
            <wp:docPr id="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e 4 Subset.PNG"/>
                    <pic:cNvPicPr/>
                  </pic:nvPicPr>
                  <pic:blipFill>
                    <a:blip r:embed="rId30">
                      <a:extLst>
                        <a:ext uri="{28A0092B-C50C-407E-A947-70E740481C1C}">
                          <a14:useLocalDpi xmlns:a14="http://schemas.microsoft.com/office/drawing/2010/main" val="0"/>
                        </a:ext>
                      </a:extLst>
                    </a:blip>
                    <a:stretch>
                      <a:fillRect/>
                    </a:stretch>
                  </pic:blipFill>
                  <pic:spPr>
                    <a:xfrm>
                      <a:off x="0" y="0"/>
                      <a:ext cx="3369600" cy="2635200"/>
                    </a:xfrm>
                    <a:prstGeom prst="rect">
                      <a:avLst/>
                    </a:prstGeom>
                  </pic:spPr>
                </pic:pic>
              </a:graphicData>
            </a:graphic>
          </wp:inline>
        </w:drawing>
      </w:r>
    </w:p>
    <w:p w14:paraId="41CE28F6" w14:textId="77777777" w:rsidR="00432121" w:rsidRPr="00432121" w:rsidRDefault="001E14DE" w:rsidP="00432121">
      <w:pPr>
        <w:widowControl w:val="0"/>
        <w:spacing w:before="120" w:after="120"/>
        <w:jc w:val="center"/>
        <w:rPr>
          <w:snapToGrid w:val="0"/>
          <w:szCs w:val="24"/>
          <w:lang w:eastAsia="fi-FI"/>
        </w:rPr>
      </w:pPr>
      <w:r>
        <w:rPr>
          <w:b/>
          <w:snapToGrid w:val="0"/>
          <w:szCs w:val="24"/>
          <w:lang w:eastAsia="fi-FI"/>
        </w:rPr>
        <w:t>Figure 7</w:t>
      </w:r>
      <w:r w:rsidR="00432121" w:rsidRPr="00432121">
        <w:rPr>
          <w:b/>
          <w:snapToGrid w:val="0"/>
          <w:szCs w:val="24"/>
          <w:lang w:eastAsia="fi-FI"/>
        </w:rPr>
        <w:t xml:space="preserve">: </w:t>
      </w:r>
      <w:r w:rsidR="00432121" w:rsidRPr="00432121">
        <w:rPr>
          <w:snapToGrid w:val="0"/>
          <w:szCs w:val="24"/>
          <w:lang w:eastAsia="fi-FI"/>
        </w:rPr>
        <w:t>Visualisation of core and subset.</w:t>
      </w:r>
    </w:p>
    <w:p w14:paraId="1D0635B1" w14:textId="77777777" w:rsidR="00432121" w:rsidRPr="00432121" w:rsidRDefault="00432121" w:rsidP="00432121">
      <w:pPr>
        <w:widowControl w:val="0"/>
        <w:spacing w:before="120" w:after="120"/>
        <w:rPr>
          <w:snapToGrid w:val="0"/>
          <w:szCs w:val="24"/>
          <w:lang w:eastAsia="fi-FI"/>
        </w:rPr>
      </w:pPr>
      <w:r w:rsidRPr="00432121">
        <w:rPr>
          <w:snapToGrid w:val="0"/>
          <w:szCs w:val="24"/>
          <w:lang w:eastAsia="fi-FI"/>
        </w:rPr>
        <w:t xml:space="preserve">There is only one use against target organism 1 (regarding the uses and an overview of the composition ranges see </w:t>
      </w:r>
      <w:r w:rsidR="000A05E7" w:rsidRPr="000A05E7">
        <w:rPr>
          <w:snapToGrid w:val="0"/>
          <w:szCs w:val="24"/>
          <w:lang w:eastAsia="fi-FI"/>
        </w:rPr>
        <w:t xml:space="preserve">Table </w:t>
      </w:r>
      <w:r w:rsidR="000A05E7">
        <w:rPr>
          <w:snapToGrid w:val="0"/>
          <w:szCs w:val="24"/>
          <w:lang w:eastAsia="fi-FI"/>
        </w:rPr>
        <w:t>8</w:t>
      </w:r>
      <w:r w:rsidRPr="00432121">
        <w:rPr>
          <w:snapToGrid w:val="0"/>
          <w:szCs w:val="24"/>
          <w:lang w:eastAsia="fi-FI"/>
        </w:rPr>
        <w:t xml:space="preserve"> below).</w:t>
      </w:r>
    </w:p>
    <w:p w14:paraId="1246965A" w14:textId="77777777" w:rsidR="00432121" w:rsidRPr="00432121" w:rsidRDefault="00432121" w:rsidP="00432121">
      <w:pPr>
        <w:widowControl w:val="0"/>
        <w:spacing w:before="120" w:after="120"/>
        <w:rPr>
          <w:snapToGrid w:val="0"/>
          <w:szCs w:val="24"/>
          <w:lang w:eastAsia="fi-FI"/>
        </w:rPr>
      </w:pPr>
      <w:r w:rsidRPr="00432121">
        <w:rPr>
          <w:snapToGrid w:val="0"/>
          <w:szCs w:val="24"/>
          <w:lang w:eastAsia="fi-FI"/>
        </w:rPr>
        <w:t xml:space="preserve">After having identified the relevant </w:t>
      </w:r>
      <w:r w:rsidR="000A05E7" w:rsidRPr="00432121">
        <w:rPr>
          <w:snapToGrid w:val="0"/>
          <w:szCs w:val="24"/>
          <w:lang w:eastAsia="fi-FI"/>
        </w:rPr>
        <w:t>worst-case</w:t>
      </w:r>
      <w:r w:rsidRPr="00432121">
        <w:rPr>
          <w:snapToGrid w:val="0"/>
          <w:szCs w:val="24"/>
          <w:lang w:eastAsia="fi-FI"/>
        </w:rPr>
        <w:t xml:space="preserve"> composition for the core, every use in the core (here use 1 only) is assessed: No unacceptable risks are found. There is one consistent set of RMMs across the composition range (see section 4</w:t>
      </w:r>
      <w:r w:rsidR="000A05E7">
        <w:rPr>
          <w:snapToGrid w:val="0"/>
          <w:szCs w:val="24"/>
          <w:lang w:eastAsia="fi-FI"/>
        </w:rPr>
        <w:t xml:space="preserve"> </w:t>
      </w:r>
      <w:r w:rsidR="0066021C">
        <w:rPr>
          <w:snapToGrid w:val="0"/>
          <w:szCs w:val="24"/>
          <w:lang w:eastAsia="fi-FI"/>
        </w:rPr>
        <w:t>of point 3.3.4</w:t>
      </w:r>
      <w:r w:rsidRPr="00432121">
        <w:rPr>
          <w:snapToGrid w:val="0"/>
          <w:szCs w:val="24"/>
          <w:lang w:eastAsia="fi-FI"/>
        </w:rPr>
        <w:t xml:space="preserve">), and efficacy against target organism 1 was proven with 5% active substance (the </w:t>
      </w:r>
      <w:r w:rsidR="000A05E7" w:rsidRPr="00432121">
        <w:rPr>
          <w:snapToGrid w:val="0"/>
          <w:szCs w:val="24"/>
          <w:lang w:eastAsia="fi-FI"/>
        </w:rPr>
        <w:t>worst-case</w:t>
      </w:r>
      <w:r w:rsidRPr="00432121">
        <w:rPr>
          <w:snapToGrid w:val="0"/>
          <w:szCs w:val="24"/>
          <w:lang w:eastAsia="fi-FI"/>
        </w:rPr>
        <w:t xml:space="preserve"> concentration regarding efficacy. </w:t>
      </w:r>
    </w:p>
    <w:p w14:paraId="3902C660" w14:textId="77777777" w:rsidR="00432121" w:rsidRPr="00432121" w:rsidRDefault="00432121" w:rsidP="00432121">
      <w:pPr>
        <w:widowControl w:val="0"/>
        <w:spacing w:before="120" w:after="120"/>
        <w:rPr>
          <w:snapToGrid w:val="0"/>
          <w:szCs w:val="24"/>
          <w:lang w:eastAsia="fi-FI"/>
        </w:rPr>
      </w:pPr>
      <w:r w:rsidRPr="00432121">
        <w:rPr>
          <w:snapToGrid w:val="0"/>
          <w:szCs w:val="24"/>
          <w:lang w:eastAsia="fi-FI"/>
        </w:rPr>
        <w:t>Nevertheless, there is a second use</w:t>
      </w:r>
      <w:r w:rsidR="000A05E7">
        <w:rPr>
          <w:snapToGrid w:val="0"/>
          <w:szCs w:val="24"/>
          <w:lang w:eastAsia="fi-FI"/>
        </w:rPr>
        <w:t>.</w:t>
      </w:r>
      <w:r w:rsidR="00A77131">
        <w:rPr>
          <w:snapToGrid w:val="0"/>
          <w:szCs w:val="24"/>
          <w:lang w:eastAsia="fi-FI"/>
        </w:rPr>
        <w:t xml:space="preserve"> </w:t>
      </w:r>
      <w:r w:rsidRPr="00432121">
        <w:rPr>
          <w:snapToGrid w:val="0"/>
          <w:szCs w:val="24"/>
          <w:lang w:eastAsia="fi-FI"/>
        </w:rPr>
        <w:t>The parameters (application method, rate etc.) of this use are the same as for use 1 apart from the target organism. Target organism 2 is more demanding. An effective treatment is only possible with products containing 9-10 % of active substance. The efficacy cannot be supported over the whole composition range of the core, therefore use 2 (i.e. target organism 2) cannot be included into the core because for the core the efficacy was proven with 5 % active substance only.</w:t>
      </w:r>
    </w:p>
    <w:p w14:paraId="3A8115E2" w14:textId="77777777" w:rsidR="00E17DC7" w:rsidRDefault="00432121" w:rsidP="00432121">
      <w:pPr>
        <w:widowControl w:val="0"/>
        <w:spacing w:before="120" w:after="120"/>
        <w:rPr>
          <w:snapToGrid w:val="0"/>
          <w:szCs w:val="24"/>
          <w:lang w:eastAsia="fi-FI"/>
        </w:rPr>
      </w:pPr>
      <w:r w:rsidRPr="00432121">
        <w:rPr>
          <w:snapToGrid w:val="0"/>
          <w:szCs w:val="24"/>
          <w:lang w:eastAsia="fi-FI"/>
        </w:rPr>
        <w:t xml:space="preserve">However, this second use can be presented as a subset to the core because the potential products against target organism 2 include the same ingredients with the same or less variation as that of the core composition (see </w:t>
      </w:r>
      <w:r w:rsidR="000A05E7">
        <w:rPr>
          <w:snapToGrid w:val="0"/>
          <w:szCs w:val="24"/>
          <w:lang w:eastAsia="fi-FI"/>
        </w:rPr>
        <w:t>figure 7</w:t>
      </w:r>
      <w:r w:rsidRPr="00432121">
        <w:rPr>
          <w:snapToGrid w:val="0"/>
          <w:szCs w:val="24"/>
          <w:lang w:eastAsia="fi-FI"/>
        </w:rPr>
        <w:t xml:space="preserve"> above or blue columns in Table </w:t>
      </w:r>
      <w:r w:rsidR="000A05E7">
        <w:rPr>
          <w:snapToGrid w:val="0"/>
          <w:szCs w:val="24"/>
          <w:lang w:eastAsia="fi-FI"/>
        </w:rPr>
        <w:t>8</w:t>
      </w:r>
      <w:r w:rsidRPr="00432121">
        <w:rPr>
          <w:snapToGrid w:val="0"/>
          <w:szCs w:val="24"/>
          <w:lang w:eastAsia="fi-FI"/>
        </w:rPr>
        <w:t xml:space="preserve"> below). In this case the core composition also represents the overall Level 1 family composition range.</w:t>
      </w:r>
    </w:p>
    <w:p w14:paraId="0531641C" w14:textId="77777777" w:rsidR="00E17DC7" w:rsidRDefault="00E17DC7">
      <w:pPr>
        <w:spacing w:after="0"/>
        <w:jc w:val="left"/>
        <w:rPr>
          <w:snapToGrid w:val="0"/>
          <w:szCs w:val="24"/>
          <w:lang w:eastAsia="fi-FI"/>
        </w:rPr>
      </w:pPr>
      <w:r>
        <w:rPr>
          <w:snapToGrid w:val="0"/>
          <w:szCs w:val="24"/>
          <w:lang w:eastAsia="fi-FI"/>
        </w:rPr>
        <w:br w:type="page"/>
      </w:r>
    </w:p>
    <w:p w14:paraId="52DA33F4" w14:textId="77777777" w:rsidR="00432121" w:rsidRPr="00432121" w:rsidRDefault="00432121" w:rsidP="00432121">
      <w:pPr>
        <w:widowControl w:val="0"/>
        <w:spacing w:before="120" w:after="120"/>
        <w:rPr>
          <w:snapToGrid w:val="0"/>
          <w:szCs w:val="24"/>
          <w:lang w:eastAsia="fi-FI"/>
        </w:rPr>
      </w:pPr>
    </w:p>
    <w:tbl>
      <w:tblPr>
        <w:tblStyle w:val="TableGrid"/>
        <w:tblW w:w="0" w:type="auto"/>
        <w:tblLook w:val="04A0" w:firstRow="1" w:lastRow="0" w:firstColumn="1" w:lastColumn="0" w:noHBand="0" w:noVBand="1"/>
      </w:tblPr>
      <w:tblGrid>
        <w:gridCol w:w="1620"/>
        <w:gridCol w:w="1696"/>
        <w:gridCol w:w="1374"/>
        <w:gridCol w:w="1387"/>
        <w:gridCol w:w="1372"/>
        <w:gridCol w:w="1385"/>
      </w:tblGrid>
      <w:tr w:rsidR="00432121" w:rsidRPr="00434C1F" w14:paraId="430E7DB8" w14:textId="77777777" w:rsidTr="0087212A">
        <w:tc>
          <w:tcPr>
            <w:tcW w:w="1703" w:type="dxa"/>
            <w:vMerge w:val="restart"/>
            <w:vAlign w:val="center"/>
          </w:tcPr>
          <w:p w14:paraId="1807F0CF" w14:textId="77777777" w:rsidR="00432121" w:rsidRPr="001E14DE" w:rsidRDefault="00432121" w:rsidP="0087212A">
            <w:pPr>
              <w:jc w:val="center"/>
              <w:rPr>
                <w:rFonts w:ascii="Times New Roman" w:hAnsi="Times New Roman"/>
                <w:b/>
              </w:rPr>
            </w:pPr>
            <w:r w:rsidRPr="001E14DE">
              <w:rPr>
                <w:rFonts w:ascii="Times New Roman" w:hAnsi="Times New Roman"/>
                <w:b/>
              </w:rPr>
              <w:t>Ingredients</w:t>
            </w:r>
          </w:p>
        </w:tc>
        <w:tc>
          <w:tcPr>
            <w:tcW w:w="1758" w:type="dxa"/>
            <w:vMerge w:val="restart"/>
            <w:vAlign w:val="center"/>
          </w:tcPr>
          <w:p w14:paraId="03ADEE86" w14:textId="77777777" w:rsidR="00432121" w:rsidRPr="001E14DE" w:rsidRDefault="00432121" w:rsidP="0087212A">
            <w:pPr>
              <w:jc w:val="center"/>
              <w:rPr>
                <w:rFonts w:ascii="Times New Roman" w:hAnsi="Times New Roman"/>
                <w:b/>
              </w:rPr>
            </w:pPr>
            <w:r w:rsidRPr="001E14DE">
              <w:rPr>
                <w:rFonts w:ascii="Times New Roman" w:hAnsi="Times New Roman"/>
                <w:b/>
              </w:rPr>
              <w:t>Classification</w:t>
            </w:r>
          </w:p>
        </w:tc>
        <w:tc>
          <w:tcPr>
            <w:tcW w:w="3050" w:type="dxa"/>
            <w:gridSpan w:val="2"/>
            <w:shd w:val="clear" w:color="auto" w:fill="FFC000"/>
            <w:vAlign w:val="center"/>
          </w:tcPr>
          <w:p w14:paraId="42A43C6F" w14:textId="77777777" w:rsidR="00432121" w:rsidRPr="001E14DE" w:rsidRDefault="00432121" w:rsidP="0087212A">
            <w:pPr>
              <w:jc w:val="center"/>
              <w:rPr>
                <w:rFonts w:ascii="Times New Roman" w:hAnsi="Times New Roman"/>
                <w:b/>
              </w:rPr>
            </w:pPr>
            <w:r w:rsidRPr="001E14DE">
              <w:rPr>
                <w:rFonts w:ascii="Times New Roman" w:hAnsi="Times New Roman"/>
                <w:b/>
              </w:rPr>
              <w:t>Core</w:t>
            </w:r>
          </w:p>
          <w:p w14:paraId="31AF392E" w14:textId="77777777" w:rsidR="00432121" w:rsidRPr="001E14DE" w:rsidRDefault="00432121" w:rsidP="0087212A">
            <w:pPr>
              <w:jc w:val="center"/>
              <w:rPr>
                <w:rFonts w:ascii="Times New Roman" w:hAnsi="Times New Roman"/>
                <w:b/>
              </w:rPr>
            </w:pPr>
            <w:r w:rsidRPr="001E14DE">
              <w:rPr>
                <w:rFonts w:ascii="Times New Roman" w:hAnsi="Times New Roman"/>
                <w:b/>
              </w:rPr>
              <w:t>composition</w:t>
            </w:r>
          </w:p>
        </w:tc>
        <w:tc>
          <w:tcPr>
            <w:tcW w:w="3059" w:type="dxa"/>
            <w:gridSpan w:val="2"/>
            <w:shd w:val="clear" w:color="auto" w:fill="00B0F0"/>
            <w:vAlign w:val="center"/>
          </w:tcPr>
          <w:p w14:paraId="2A315ECC" w14:textId="77777777" w:rsidR="00432121" w:rsidRPr="001E14DE" w:rsidRDefault="00432121" w:rsidP="0087212A">
            <w:pPr>
              <w:jc w:val="center"/>
              <w:rPr>
                <w:rFonts w:ascii="Times New Roman" w:hAnsi="Times New Roman"/>
                <w:b/>
              </w:rPr>
            </w:pPr>
            <w:r w:rsidRPr="001E14DE">
              <w:rPr>
                <w:rFonts w:ascii="Times New Roman" w:hAnsi="Times New Roman"/>
                <w:b/>
              </w:rPr>
              <w:t>Subset (Different efficacy)</w:t>
            </w:r>
          </w:p>
        </w:tc>
      </w:tr>
      <w:tr w:rsidR="00432121" w:rsidRPr="00434C1F" w14:paraId="1323C21B" w14:textId="77777777" w:rsidTr="0087212A">
        <w:tc>
          <w:tcPr>
            <w:tcW w:w="1703" w:type="dxa"/>
            <w:vMerge/>
            <w:vAlign w:val="center"/>
          </w:tcPr>
          <w:p w14:paraId="1DF9CBDF" w14:textId="77777777" w:rsidR="00432121" w:rsidRPr="001E14DE" w:rsidRDefault="00432121" w:rsidP="0087212A">
            <w:pPr>
              <w:jc w:val="center"/>
              <w:rPr>
                <w:rFonts w:ascii="Times New Roman" w:hAnsi="Times New Roman"/>
              </w:rPr>
            </w:pPr>
          </w:p>
        </w:tc>
        <w:tc>
          <w:tcPr>
            <w:tcW w:w="1758" w:type="dxa"/>
            <w:vMerge/>
            <w:vAlign w:val="center"/>
          </w:tcPr>
          <w:p w14:paraId="130EDD31" w14:textId="77777777" w:rsidR="00432121" w:rsidRPr="001E14DE" w:rsidRDefault="00432121" w:rsidP="0087212A">
            <w:pPr>
              <w:jc w:val="center"/>
              <w:rPr>
                <w:rFonts w:ascii="Times New Roman" w:hAnsi="Times New Roman"/>
              </w:rPr>
            </w:pPr>
          </w:p>
        </w:tc>
        <w:tc>
          <w:tcPr>
            <w:tcW w:w="1519" w:type="dxa"/>
            <w:shd w:val="clear" w:color="auto" w:fill="FFC000"/>
            <w:vAlign w:val="center"/>
          </w:tcPr>
          <w:p w14:paraId="3C48569A" w14:textId="77777777" w:rsidR="00432121" w:rsidRPr="001E14DE" w:rsidRDefault="00432121" w:rsidP="0087212A">
            <w:pPr>
              <w:jc w:val="center"/>
              <w:rPr>
                <w:rFonts w:ascii="Times New Roman" w:hAnsi="Times New Roman"/>
                <w:b/>
              </w:rPr>
            </w:pPr>
            <w:r w:rsidRPr="001E14DE">
              <w:rPr>
                <w:rFonts w:ascii="Times New Roman" w:hAnsi="Times New Roman"/>
                <w:b/>
              </w:rPr>
              <w:t>Min (%)</w:t>
            </w:r>
          </w:p>
        </w:tc>
        <w:tc>
          <w:tcPr>
            <w:tcW w:w="1531" w:type="dxa"/>
            <w:shd w:val="clear" w:color="auto" w:fill="FFC000"/>
            <w:vAlign w:val="center"/>
          </w:tcPr>
          <w:p w14:paraId="3E2F1575" w14:textId="77777777" w:rsidR="00432121" w:rsidRPr="001E14DE" w:rsidRDefault="00432121" w:rsidP="0087212A">
            <w:pPr>
              <w:jc w:val="center"/>
              <w:rPr>
                <w:rFonts w:ascii="Times New Roman" w:hAnsi="Times New Roman"/>
                <w:b/>
              </w:rPr>
            </w:pPr>
            <w:r w:rsidRPr="001E14DE">
              <w:rPr>
                <w:rFonts w:ascii="Times New Roman" w:hAnsi="Times New Roman"/>
                <w:b/>
              </w:rPr>
              <w:t>Max (%)</w:t>
            </w:r>
          </w:p>
        </w:tc>
        <w:tc>
          <w:tcPr>
            <w:tcW w:w="1525" w:type="dxa"/>
            <w:shd w:val="clear" w:color="auto" w:fill="00B0F0"/>
            <w:vAlign w:val="center"/>
          </w:tcPr>
          <w:p w14:paraId="2F56F63B" w14:textId="77777777" w:rsidR="00432121" w:rsidRPr="001E14DE" w:rsidRDefault="00432121" w:rsidP="0087212A">
            <w:pPr>
              <w:jc w:val="center"/>
              <w:rPr>
                <w:rFonts w:ascii="Times New Roman" w:hAnsi="Times New Roman"/>
              </w:rPr>
            </w:pPr>
            <w:r w:rsidRPr="001E14DE">
              <w:rPr>
                <w:rFonts w:ascii="Times New Roman" w:hAnsi="Times New Roman"/>
                <w:b/>
              </w:rPr>
              <w:t>Min (%)</w:t>
            </w:r>
          </w:p>
        </w:tc>
        <w:tc>
          <w:tcPr>
            <w:tcW w:w="1534" w:type="dxa"/>
            <w:shd w:val="clear" w:color="auto" w:fill="00B0F0"/>
            <w:vAlign w:val="center"/>
          </w:tcPr>
          <w:p w14:paraId="36310F46" w14:textId="77777777" w:rsidR="00432121" w:rsidRPr="001E14DE" w:rsidRDefault="00432121" w:rsidP="0087212A">
            <w:pPr>
              <w:jc w:val="center"/>
              <w:rPr>
                <w:rFonts w:ascii="Times New Roman" w:hAnsi="Times New Roman"/>
              </w:rPr>
            </w:pPr>
            <w:r w:rsidRPr="001E14DE">
              <w:rPr>
                <w:rFonts w:ascii="Times New Roman" w:hAnsi="Times New Roman"/>
                <w:b/>
              </w:rPr>
              <w:t>Max (%)</w:t>
            </w:r>
          </w:p>
        </w:tc>
      </w:tr>
      <w:tr w:rsidR="00432121" w:rsidRPr="00434C1F" w14:paraId="311E6F73" w14:textId="77777777" w:rsidTr="0087212A">
        <w:tc>
          <w:tcPr>
            <w:tcW w:w="1703" w:type="dxa"/>
            <w:vAlign w:val="center"/>
          </w:tcPr>
          <w:p w14:paraId="5DDA38D5" w14:textId="77777777" w:rsidR="00432121" w:rsidRPr="001E14DE" w:rsidRDefault="00432121" w:rsidP="0087212A">
            <w:pPr>
              <w:jc w:val="center"/>
              <w:rPr>
                <w:rFonts w:ascii="Times New Roman" w:hAnsi="Times New Roman"/>
              </w:rPr>
            </w:pPr>
            <w:r w:rsidRPr="001E14DE">
              <w:rPr>
                <w:rFonts w:ascii="Times New Roman" w:hAnsi="Times New Roman"/>
              </w:rPr>
              <w:t>Active Substance</w:t>
            </w:r>
          </w:p>
        </w:tc>
        <w:tc>
          <w:tcPr>
            <w:tcW w:w="1758" w:type="dxa"/>
            <w:vAlign w:val="center"/>
          </w:tcPr>
          <w:p w14:paraId="17C337F8" w14:textId="77777777" w:rsidR="00432121" w:rsidRPr="001E14DE" w:rsidRDefault="00432121" w:rsidP="0087212A">
            <w:pPr>
              <w:jc w:val="center"/>
              <w:rPr>
                <w:rFonts w:ascii="Times New Roman" w:hAnsi="Times New Roman"/>
              </w:rPr>
            </w:pPr>
            <w:r w:rsidRPr="001E14DE">
              <w:rPr>
                <w:rFonts w:ascii="Times New Roman" w:hAnsi="Times New Roman"/>
              </w:rPr>
              <w:t>XYZ</w:t>
            </w:r>
          </w:p>
        </w:tc>
        <w:tc>
          <w:tcPr>
            <w:tcW w:w="1519" w:type="dxa"/>
            <w:shd w:val="clear" w:color="auto" w:fill="FFC000"/>
            <w:vAlign w:val="center"/>
          </w:tcPr>
          <w:p w14:paraId="3746F0D9" w14:textId="77777777" w:rsidR="00432121" w:rsidRPr="001E14DE" w:rsidRDefault="00432121" w:rsidP="0087212A">
            <w:pPr>
              <w:jc w:val="center"/>
              <w:rPr>
                <w:rFonts w:ascii="Times New Roman" w:hAnsi="Times New Roman"/>
              </w:rPr>
            </w:pPr>
            <w:r w:rsidRPr="001E14DE">
              <w:rPr>
                <w:rFonts w:ascii="Times New Roman" w:hAnsi="Times New Roman"/>
              </w:rPr>
              <w:t>5</w:t>
            </w:r>
          </w:p>
        </w:tc>
        <w:tc>
          <w:tcPr>
            <w:tcW w:w="1531" w:type="dxa"/>
            <w:shd w:val="clear" w:color="auto" w:fill="FFC000"/>
            <w:vAlign w:val="center"/>
          </w:tcPr>
          <w:p w14:paraId="379280CF" w14:textId="77777777" w:rsidR="00432121" w:rsidRPr="001E14DE" w:rsidRDefault="00432121" w:rsidP="0087212A">
            <w:pPr>
              <w:jc w:val="center"/>
              <w:rPr>
                <w:rFonts w:ascii="Times New Roman" w:hAnsi="Times New Roman"/>
              </w:rPr>
            </w:pPr>
            <w:r w:rsidRPr="001E14DE">
              <w:rPr>
                <w:rFonts w:ascii="Times New Roman" w:hAnsi="Times New Roman"/>
              </w:rPr>
              <w:t>10</w:t>
            </w:r>
          </w:p>
        </w:tc>
        <w:tc>
          <w:tcPr>
            <w:tcW w:w="1525" w:type="dxa"/>
            <w:shd w:val="clear" w:color="auto" w:fill="00B0F0"/>
            <w:vAlign w:val="center"/>
          </w:tcPr>
          <w:p w14:paraId="0A646616" w14:textId="77777777" w:rsidR="00432121" w:rsidRPr="001E14DE" w:rsidRDefault="00432121" w:rsidP="0087212A">
            <w:pPr>
              <w:jc w:val="center"/>
              <w:rPr>
                <w:rFonts w:ascii="Times New Roman" w:hAnsi="Times New Roman"/>
              </w:rPr>
            </w:pPr>
            <w:r w:rsidRPr="001E14DE">
              <w:rPr>
                <w:rFonts w:ascii="Times New Roman" w:hAnsi="Times New Roman"/>
              </w:rPr>
              <w:t>9</w:t>
            </w:r>
          </w:p>
        </w:tc>
        <w:tc>
          <w:tcPr>
            <w:tcW w:w="1534" w:type="dxa"/>
            <w:shd w:val="clear" w:color="auto" w:fill="00B0F0"/>
            <w:vAlign w:val="center"/>
          </w:tcPr>
          <w:p w14:paraId="48AD0826" w14:textId="77777777" w:rsidR="00432121" w:rsidRPr="001E14DE" w:rsidRDefault="00432121" w:rsidP="0087212A">
            <w:pPr>
              <w:jc w:val="center"/>
              <w:rPr>
                <w:rFonts w:ascii="Times New Roman" w:hAnsi="Times New Roman"/>
              </w:rPr>
            </w:pPr>
            <w:r w:rsidRPr="001E14DE">
              <w:rPr>
                <w:rFonts w:ascii="Times New Roman" w:hAnsi="Times New Roman"/>
              </w:rPr>
              <w:t>10</w:t>
            </w:r>
          </w:p>
        </w:tc>
      </w:tr>
      <w:tr w:rsidR="00432121" w:rsidRPr="00434C1F" w14:paraId="21D2989E" w14:textId="77777777" w:rsidTr="0087212A">
        <w:tc>
          <w:tcPr>
            <w:tcW w:w="1703" w:type="dxa"/>
            <w:vAlign w:val="center"/>
          </w:tcPr>
          <w:p w14:paraId="77A659DA" w14:textId="77777777" w:rsidR="00432121" w:rsidRPr="001E14DE" w:rsidRDefault="00432121" w:rsidP="0087212A">
            <w:pPr>
              <w:jc w:val="center"/>
              <w:rPr>
                <w:rFonts w:ascii="Times New Roman" w:hAnsi="Times New Roman"/>
              </w:rPr>
            </w:pPr>
            <w:r w:rsidRPr="001E14DE">
              <w:rPr>
                <w:rFonts w:ascii="Times New Roman" w:hAnsi="Times New Roman"/>
              </w:rPr>
              <w:t>Solvent</w:t>
            </w:r>
          </w:p>
        </w:tc>
        <w:tc>
          <w:tcPr>
            <w:tcW w:w="1758" w:type="dxa"/>
            <w:vAlign w:val="center"/>
          </w:tcPr>
          <w:p w14:paraId="43D2008C" w14:textId="77777777" w:rsidR="00432121" w:rsidRPr="001E14DE" w:rsidRDefault="00432121" w:rsidP="0087212A">
            <w:pPr>
              <w:jc w:val="center"/>
              <w:rPr>
                <w:rFonts w:ascii="Times New Roman" w:hAnsi="Times New Roman"/>
              </w:rPr>
            </w:pPr>
            <w:r w:rsidRPr="001E14DE">
              <w:rPr>
                <w:rFonts w:ascii="Times New Roman" w:hAnsi="Times New Roman"/>
              </w:rPr>
              <w:t>SoC ENV</w:t>
            </w:r>
          </w:p>
        </w:tc>
        <w:tc>
          <w:tcPr>
            <w:tcW w:w="1519" w:type="dxa"/>
            <w:shd w:val="clear" w:color="auto" w:fill="FFC000"/>
            <w:vAlign w:val="center"/>
          </w:tcPr>
          <w:p w14:paraId="6A6BDA8A" w14:textId="77777777" w:rsidR="00432121" w:rsidRPr="001E14DE" w:rsidRDefault="00432121" w:rsidP="0087212A">
            <w:pPr>
              <w:jc w:val="center"/>
              <w:rPr>
                <w:rFonts w:ascii="Times New Roman" w:hAnsi="Times New Roman"/>
              </w:rPr>
            </w:pPr>
            <w:r w:rsidRPr="001E14DE">
              <w:rPr>
                <w:rFonts w:ascii="Times New Roman" w:hAnsi="Times New Roman"/>
              </w:rPr>
              <w:t>75</w:t>
            </w:r>
          </w:p>
        </w:tc>
        <w:tc>
          <w:tcPr>
            <w:tcW w:w="1531" w:type="dxa"/>
            <w:shd w:val="clear" w:color="auto" w:fill="FFC000"/>
            <w:vAlign w:val="center"/>
          </w:tcPr>
          <w:p w14:paraId="46ABDE9D" w14:textId="77777777" w:rsidR="00432121" w:rsidRPr="001E14DE" w:rsidRDefault="00432121" w:rsidP="0087212A">
            <w:pPr>
              <w:jc w:val="center"/>
              <w:rPr>
                <w:rFonts w:ascii="Times New Roman" w:hAnsi="Times New Roman"/>
              </w:rPr>
            </w:pPr>
            <w:r w:rsidRPr="001E14DE">
              <w:rPr>
                <w:rFonts w:ascii="Times New Roman" w:hAnsi="Times New Roman"/>
              </w:rPr>
              <w:t>85</w:t>
            </w:r>
          </w:p>
        </w:tc>
        <w:tc>
          <w:tcPr>
            <w:tcW w:w="1525" w:type="dxa"/>
            <w:shd w:val="clear" w:color="auto" w:fill="00B0F0"/>
            <w:vAlign w:val="center"/>
          </w:tcPr>
          <w:p w14:paraId="4A87F7E3" w14:textId="77777777" w:rsidR="00432121" w:rsidRPr="001E14DE" w:rsidRDefault="00432121" w:rsidP="0087212A">
            <w:pPr>
              <w:jc w:val="center"/>
              <w:rPr>
                <w:rFonts w:ascii="Times New Roman" w:hAnsi="Times New Roman"/>
              </w:rPr>
            </w:pPr>
            <w:r w:rsidRPr="001E14DE">
              <w:rPr>
                <w:rFonts w:ascii="Times New Roman" w:hAnsi="Times New Roman"/>
              </w:rPr>
              <w:t>75</w:t>
            </w:r>
          </w:p>
        </w:tc>
        <w:tc>
          <w:tcPr>
            <w:tcW w:w="1534" w:type="dxa"/>
            <w:shd w:val="clear" w:color="auto" w:fill="00B0F0"/>
            <w:vAlign w:val="center"/>
          </w:tcPr>
          <w:p w14:paraId="5D3DAAE9" w14:textId="77777777" w:rsidR="00432121" w:rsidRPr="001E14DE" w:rsidRDefault="00432121" w:rsidP="0087212A">
            <w:pPr>
              <w:jc w:val="center"/>
              <w:rPr>
                <w:rFonts w:ascii="Times New Roman" w:hAnsi="Times New Roman"/>
              </w:rPr>
            </w:pPr>
            <w:r w:rsidRPr="001E14DE">
              <w:rPr>
                <w:rFonts w:ascii="Times New Roman" w:hAnsi="Times New Roman"/>
              </w:rPr>
              <w:t>76</w:t>
            </w:r>
          </w:p>
        </w:tc>
      </w:tr>
      <w:tr w:rsidR="00432121" w:rsidRPr="00434C1F" w14:paraId="2686F0F8" w14:textId="77777777" w:rsidTr="0087212A">
        <w:tc>
          <w:tcPr>
            <w:tcW w:w="1703" w:type="dxa"/>
            <w:vAlign w:val="center"/>
          </w:tcPr>
          <w:p w14:paraId="2735B56C" w14:textId="77777777" w:rsidR="00432121" w:rsidRPr="001E14DE" w:rsidRDefault="00432121" w:rsidP="0087212A">
            <w:pPr>
              <w:jc w:val="center"/>
              <w:rPr>
                <w:rFonts w:ascii="Times New Roman" w:hAnsi="Times New Roman"/>
              </w:rPr>
            </w:pPr>
            <w:r w:rsidRPr="001E14DE">
              <w:rPr>
                <w:rFonts w:ascii="Times New Roman" w:hAnsi="Times New Roman"/>
              </w:rPr>
              <w:t>Co-formulant 1</w:t>
            </w:r>
          </w:p>
        </w:tc>
        <w:tc>
          <w:tcPr>
            <w:tcW w:w="1758" w:type="dxa"/>
            <w:vAlign w:val="center"/>
          </w:tcPr>
          <w:p w14:paraId="527DC9C6" w14:textId="77777777" w:rsidR="00432121" w:rsidRPr="001E14DE" w:rsidRDefault="00432121" w:rsidP="0087212A">
            <w:pPr>
              <w:jc w:val="center"/>
              <w:rPr>
                <w:rFonts w:ascii="Times New Roman" w:hAnsi="Times New Roman"/>
              </w:rPr>
            </w:pPr>
            <w:r w:rsidRPr="001E14DE">
              <w:rPr>
                <w:rFonts w:ascii="Times New Roman" w:hAnsi="Times New Roman"/>
              </w:rPr>
              <w:t>SoC HH</w:t>
            </w:r>
          </w:p>
        </w:tc>
        <w:tc>
          <w:tcPr>
            <w:tcW w:w="1519" w:type="dxa"/>
            <w:shd w:val="clear" w:color="auto" w:fill="FFC000"/>
            <w:vAlign w:val="center"/>
          </w:tcPr>
          <w:p w14:paraId="3EB28D18" w14:textId="77777777" w:rsidR="00432121" w:rsidRPr="001E14DE" w:rsidRDefault="00432121" w:rsidP="0087212A">
            <w:pPr>
              <w:jc w:val="center"/>
              <w:rPr>
                <w:rFonts w:ascii="Times New Roman" w:hAnsi="Times New Roman"/>
              </w:rPr>
            </w:pPr>
            <w:r w:rsidRPr="001E14DE">
              <w:rPr>
                <w:rFonts w:ascii="Times New Roman" w:hAnsi="Times New Roman"/>
              </w:rPr>
              <w:t>5</w:t>
            </w:r>
          </w:p>
        </w:tc>
        <w:tc>
          <w:tcPr>
            <w:tcW w:w="1531" w:type="dxa"/>
            <w:shd w:val="clear" w:color="auto" w:fill="FFC000"/>
            <w:vAlign w:val="center"/>
          </w:tcPr>
          <w:p w14:paraId="62DB953A" w14:textId="77777777" w:rsidR="00432121" w:rsidRPr="001E14DE" w:rsidRDefault="00432121" w:rsidP="0087212A">
            <w:pPr>
              <w:jc w:val="center"/>
              <w:rPr>
                <w:rFonts w:ascii="Times New Roman" w:hAnsi="Times New Roman"/>
              </w:rPr>
            </w:pPr>
            <w:r w:rsidRPr="001E14DE">
              <w:rPr>
                <w:rFonts w:ascii="Times New Roman" w:hAnsi="Times New Roman"/>
              </w:rPr>
              <w:t>10</w:t>
            </w:r>
          </w:p>
        </w:tc>
        <w:tc>
          <w:tcPr>
            <w:tcW w:w="1525" w:type="dxa"/>
            <w:shd w:val="clear" w:color="auto" w:fill="00B0F0"/>
            <w:vAlign w:val="center"/>
          </w:tcPr>
          <w:p w14:paraId="1CF8C52A" w14:textId="77777777" w:rsidR="00432121" w:rsidRPr="001E14DE" w:rsidRDefault="00432121" w:rsidP="0087212A">
            <w:pPr>
              <w:jc w:val="center"/>
              <w:rPr>
                <w:rFonts w:ascii="Times New Roman" w:hAnsi="Times New Roman"/>
              </w:rPr>
            </w:pPr>
            <w:r w:rsidRPr="001E14DE">
              <w:rPr>
                <w:rFonts w:ascii="Times New Roman" w:hAnsi="Times New Roman"/>
              </w:rPr>
              <w:t>10</w:t>
            </w:r>
          </w:p>
        </w:tc>
        <w:tc>
          <w:tcPr>
            <w:tcW w:w="1534" w:type="dxa"/>
            <w:shd w:val="clear" w:color="auto" w:fill="00B0F0"/>
            <w:vAlign w:val="center"/>
          </w:tcPr>
          <w:p w14:paraId="0EB08FBD" w14:textId="77777777" w:rsidR="00432121" w:rsidRPr="001E14DE" w:rsidRDefault="00432121" w:rsidP="0087212A">
            <w:pPr>
              <w:jc w:val="center"/>
              <w:rPr>
                <w:rFonts w:ascii="Times New Roman" w:hAnsi="Times New Roman"/>
              </w:rPr>
            </w:pPr>
            <w:r w:rsidRPr="001E14DE">
              <w:rPr>
                <w:rFonts w:ascii="Times New Roman" w:hAnsi="Times New Roman"/>
              </w:rPr>
              <w:t>10</w:t>
            </w:r>
          </w:p>
        </w:tc>
      </w:tr>
      <w:tr w:rsidR="00432121" w:rsidRPr="00434C1F" w14:paraId="60B7C9A8" w14:textId="77777777" w:rsidTr="0087212A">
        <w:tc>
          <w:tcPr>
            <w:tcW w:w="1703" w:type="dxa"/>
            <w:vAlign w:val="center"/>
          </w:tcPr>
          <w:p w14:paraId="21D7337C" w14:textId="77777777" w:rsidR="00432121" w:rsidRPr="001E14DE" w:rsidRDefault="00432121" w:rsidP="0087212A">
            <w:pPr>
              <w:jc w:val="center"/>
              <w:rPr>
                <w:rFonts w:ascii="Times New Roman" w:hAnsi="Times New Roman"/>
              </w:rPr>
            </w:pPr>
            <w:r w:rsidRPr="001E14DE">
              <w:rPr>
                <w:rFonts w:ascii="Times New Roman" w:hAnsi="Times New Roman"/>
              </w:rPr>
              <w:t>PPD</w:t>
            </w:r>
          </w:p>
        </w:tc>
        <w:tc>
          <w:tcPr>
            <w:tcW w:w="1758" w:type="dxa"/>
            <w:vAlign w:val="center"/>
          </w:tcPr>
          <w:p w14:paraId="57DEEA45" w14:textId="77777777" w:rsidR="00432121" w:rsidRPr="001E14DE" w:rsidRDefault="00432121" w:rsidP="0087212A">
            <w:pPr>
              <w:jc w:val="center"/>
              <w:rPr>
                <w:rFonts w:ascii="Times New Roman" w:hAnsi="Times New Roman"/>
              </w:rPr>
            </w:pPr>
            <w:r w:rsidRPr="001E14DE">
              <w:rPr>
                <w:rFonts w:ascii="Times New Roman" w:hAnsi="Times New Roman"/>
              </w:rPr>
              <w:t>-</w:t>
            </w:r>
          </w:p>
        </w:tc>
        <w:tc>
          <w:tcPr>
            <w:tcW w:w="1519" w:type="dxa"/>
            <w:shd w:val="clear" w:color="auto" w:fill="FFC000"/>
            <w:vAlign w:val="center"/>
          </w:tcPr>
          <w:p w14:paraId="1DCE4B2F" w14:textId="77777777" w:rsidR="00432121" w:rsidRPr="001E14DE" w:rsidRDefault="00432121" w:rsidP="0087212A">
            <w:pPr>
              <w:jc w:val="center"/>
              <w:rPr>
                <w:rFonts w:ascii="Times New Roman" w:hAnsi="Times New Roman"/>
              </w:rPr>
            </w:pPr>
            <w:r w:rsidRPr="001E14DE">
              <w:rPr>
                <w:rFonts w:ascii="Times New Roman" w:hAnsi="Times New Roman"/>
              </w:rPr>
              <w:t>5</w:t>
            </w:r>
          </w:p>
        </w:tc>
        <w:tc>
          <w:tcPr>
            <w:tcW w:w="1531" w:type="dxa"/>
            <w:shd w:val="clear" w:color="auto" w:fill="FFC000"/>
            <w:vAlign w:val="center"/>
          </w:tcPr>
          <w:p w14:paraId="0E27160E" w14:textId="77777777" w:rsidR="00432121" w:rsidRPr="001E14DE" w:rsidRDefault="00432121" w:rsidP="0087212A">
            <w:pPr>
              <w:jc w:val="center"/>
              <w:rPr>
                <w:rFonts w:ascii="Times New Roman" w:hAnsi="Times New Roman"/>
              </w:rPr>
            </w:pPr>
            <w:r w:rsidRPr="001E14DE">
              <w:rPr>
                <w:rFonts w:ascii="Times New Roman" w:hAnsi="Times New Roman"/>
              </w:rPr>
              <w:t>5</w:t>
            </w:r>
          </w:p>
        </w:tc>
        <w:tc>
          <w:tcPr>
            <w:tcW w:w="1525" w:type="dxa"/>
            <w:shd w:val="clear" w:color="auto" w:fill="00B0F0"/>
            <w:vAlign w:val="center"/>
          </w:tcPr>
          <w:p w14:paraId="0C85D19C" w14:textId="77777777" w:rsidR="00432121" w:rsidRPr="001E14DE" w:rsidRDefault="00432121" w:rsidP="0087212A">
            <w:pPr>
              <w:jc w:val="center"/>
              <w:rPr>
                <w:rFonts w:ascii="Times New Roman" w:hAnsi="Times New Roman"/>
              </w:rPr>
            </w:pPr>
            <w:r w:rsidRPr="001E14DE">
              <w:rPr>
                <w:rFonts w:ascii="Times New Roman" w:hAnsi="Times New Roman"/>
              </w:rPr>
              <w:t>5</w:t>
            </w:r>
          </w:p>
        </w:tc>
        <w:tc>
          <w:tcPr>
            <w:tcW w:w="1534" w:type="dxa"/>
            <w:shd w:val="clear" w:color="auto" w:fill="00B0F0"/>
            <w:vAlign w:val="center"/>
          </w:tcPr>
          <w:p w14:paraId="04C6FBD5" w14:textId="77777777" w:rsidR="00432121" w:rsidRPr="001E14DE" w:rsidRDefault="00432121" w:rsidP="0087212A">
            <w:pPr>
              <w:jc w:val="center"/>
              <w:rPr>
                <w:rFonts w:ascii="Times New Roman" w:hAnsi="Times New Roman"/>
              </w:rPr>
            </w:pPr>
            <w:r w:rsidRPr="001E14DE">
              <w:rPr>
                <w:rFonts w:ascii="Times New Roman" w:hAnsi="Times New Roman"/>
              </w:rPr>
              <w:t>5</w:t>
            </w:r>
          </w:p>
        </w:tc>
      </w:tr>
      <w:tr w:rsidR="00432121" w:rsidRPr="00434C1F" w14:paraId="47E75ED4" w14:textId="77777777" w:rsidTr="0087212A">
        <w:tc>
          <w:tcPr>
            <w:tcW w:w="3461" w:type="dxa"/>
            <w:gridSpan w:val="2"/>
            <w:vMerge w:val="restart"/>
            <w:vAlign w:val="center"/>
          </w:tcPr>
          <w:p w14:paraId="05C0237A" w14:textId="77777777" w:rsidR="00432121" w:rsidRPr="001E14DE" w:rsidRDefault="00432121" w:rsidP="0087212A">
            <w:pPr>
              <w:jc w:val="center"/>
              <w:rPr>
                <w:rFonts w:ascii="Times New Roman" w:hAnsi="Times New Roman"/>
                <w:b/>
              </w:rPr>
            </w:pPr>
            <w:r w:rsidRPr="001E14DE">
              <w:rPr>
                <w:rFonts w:ascii="Times New Roman" w:hAnsi="Times New Roman"/>
                <w:b/>
              </w:rPr>
              <w:t>Uses</w:t>
            </w:r>
          </w:p>
        </w:tc>
        <w:tc>
          <w:tcPr>
            <w:tcW w:w="3050" w:type="dxa"/>
            <w:gridSpan w:val="2"/>
            <w:shd w:val="clear" w:color="auto" w:fill="FFC000"/>
            <w:vAlign w:val="center"/>
          </w:tcPr>
          <w:p w14:paraId="371DB2F2" w14:textId="77777777" w:rsidR="00432121" w:rsidRPr="001E14DE" w:rsidRDefault="00432121" w:rsidP="0087212A">
            <w:pPr>
              <w:jc w:val="center"/>
              <w:rPr>
                <w:rFonts w:ascii="Times New Roman" w:hAnsi="Times New Roman"/>
              </w:rPr>
            </w:pPr>
            <w:r w:rsidRPr="001E14DE">
              <w:rPr>
                <w:rFonts w:ascii="Times New Roman" w:hAnsi="Times New Roman"/>
              </w:rPr>
              <w:t>1: Against Target org. 1</w:t>
            </w:r>
          </w:p>
        </w:tc>
        <w:tc>
          <w:tcPr>
            <w:tcW w:w="3059" w:type="dxa"/>
            <w:gridSpan w:val="2"/>
            <w:shd w:val="clear" w:color="auto" w:fill="00B0F0"/>
            <w:vAlign w:val="center"/>
          </w:tcPr>
          <w:p w14:paraId="0966CD87" w14:textId="77777777" w:rsidR="00432121" w:rsidRPr="001E14DE" w:rsidRDefault="00432121" w:rsidP="0087212A">
            <w:pPr>
              <w:jc w:val="center"/>
              <w:rPr>
                <w:rFonts w:ascii="Times New Roman" w:hAnsi="Times New Roman"/>
              </w:rPr>
            </w:pPr>
            <w:r w:rsidRPr="001E14DE">
              <w:rPr>
                <w:rFonts w:ascii="Times New Roman" w:hAnsi="Times New Roman"/>
              </w:rPr>
              <w:t>-</w:t>
            </w:r>
          </w:p>
        </w:tc>
      </w:tr>
      <w:tr w:rsidR="00432121" w:rsidRPr="00845A73" w14:paraId="1924BE7B" w14:textId="77777777" w:rsidTr="0087212A">
        <w:trPr>
          <w:trHeight w:val="58"/>
        </w:trPr>
        <w:tc>
          <w:tcPr>
            <w:tcW w:w="3461" w:type="dxa"/>
            <w:gridSpan w:val="2"/>
            <w:vMerge/>
            <w:vAlign w:val="center"/>
          </w:tcPr>
          <w:p w14:paraId="122DB9FE" w14:textId="77777777" w:rsidR="00432121" w:rsidRPr="001E14DE" w:rsidRDefault="00432121" w:rsidP="0087212A">
            <w:pPr>
              <w:jc w:val="center"/>
              <w:rPr>
                <w:rFonts w:ascii="Times New Roman" w:hAnsi="Times New Roman"/>
                <w:b/>
              </w:rPr>
            </w:pPr>
          </w:p>
        </w:tc>
        <w:tc>
          <w:tcPr>
            <w:tcW w:w="3050" w:type="dxa"/>
            <w:gridSpan w:val="2"/>
            <w:shd w:val="clear" w:color="auto" w:fill="FFC000"/>
            <w:vAlign w:val="center"/>
          </w:tcPr>
          <w:p w14:paraId="7F4509FB" w14:textId="77777777" w:rsidR="00432121" w:rsidRPr="001E14DE" w:rsidRDefault="00432121" w:rsidP="0087212A">
            <w:pPr>
              <w:jc w:val="center"/>
              <w:rPr>
                <w:rFonts w:ascii="Times New Roman" w:hAnsi="Times New Roman"/>
              </w:rPr>
            </w:pPr>
            <w:r w:rsidRPr="001E14DE">
              <w:rPr>
                <w:rFonts w:ascii="Times New Roman" w:hAnsi="Times New Roman"/>
              </w:rPr>
              <w:t>-</w:t>
            </w:r>
          </w:p>
        </w:tc>
        <w:tc>
          <w:tcPr>
            <w:tcW w:w="3059" w:type="dxa"/>
            <w:gridSpan w:val="2"/>
            <w:shd w:val="clear" w:color="auto" w:fill="00B0F0"/>
            <w:vAlign w:val="center"/>
          </w:tcPr>
          <w:p w14:paraId="169CD1AE" w14:textId="77777777" w:rsidR="00432121" w:rsidRPr="001E14DE" w:rsidRDefault="00432121" w:rsidP="0087212A">
            <w:pPr>
              <w:jc w:val="center"/>
              <w:rPr>
                <w:rFonts w:ascii="Times New Roman" w:hAnsi="Times New Roman"/>
              </w:rPr>
            </w:pPr>
            <w:r w:rsidRPr="001E14DE">
              <w:rPr>
                <w:rFonts w:ascii="Times New Roman" w:hAnsi="Times New Roman"/>
              </w:rPr>
              <w:t>2: Against more demanding target org. 2</w:t>
            </w:r>
          </w:p>
        </w:tc>
      </w:tr>
    </w:tbl>
    <w:p w14:paraId="31AC25FD" w14:textId="77777777" w:rsidR="00432121" w:rsidRPr="001E14DE" w:rsidRDefault="00432121" w:rsidP="00432121">
      <w:pPr>
        <w:widowControl w:val="0"/>
        <w:spacing w:before="120" w:after="120"/>
        <w:rPr>
          <w:b/>
          <w:snapToGrid w:val="0"/>
          <w:szCs w:val="24"/>
          <w:lang w:eastAsia="fi-FI"/>
        </w:rPr>
      </w:pPr>
      <w:r w:rsidRPr="001E14DE">
        <w:rPr>
          <w:b/>
          <w:snapToGrid w:val="0"/>
          <w:szCs w:val="24"/>
          <w:lang w:eastAsia="fi-FI"/>
        </w:rPr>
        <w:t xml:space="preserve">Table </w:t>
      </w:r>
      <w:r w:rsidR="001E14DE" w:rsidRPr="001E14DE">
        <w:rPr>
          <w:b/>
          <w:snapToGrid w:val="0"/>
          <w:szCs w:val="24"/>
          <w:lang w:eastAsia="fi-FI"/>
        </w:rPr>
        <w:t>8</w:t>
      </w:r>
      <w:r w:rsidRPr="001E14DE">
        <w:rPr>
          <w:b/>
          <w:snapToGrid w:val="0"/>
          <w:szCs w:val="24"/>
          <w:lang w:eastAsia="fi-FI"/>
        </w:rPr>
        <w:t xml:space="preserve">: </w:t>
      </w:r>
      <w:r w:rsidR="000A05E7" w:rsidRPr="004D448C">
        <w:rPr>
          <w:snapToGrid w:val="0"/>
          <w:szCs w:val="24"/>
          <w:lang w:eastAsia="fi-FI"/>
        </w:rPr>
        <w:t>example of a subset</w:t>
      </w:r>
      <w:r w:rsidR="000A05E7">
        <w:rPr>
          <w:snapToGrid w:val="0"/>
          <w:szCs w:val="24"/>
          <w:lang w:eastAsia="fi-FI"/>
        </w:rPr>
        <w:t xml:space="preserve"> refinement covering a different level of efficacy</w:t>
      </w:r>
    </w:p>
    <w:p w14:paraId="343A2251" w14:textId="77777777" w:rsidR="00432121" w:rsidRPr="00432121" w:rsidRDefault="00432121" w:rsidP="00432121">
      <w:pPr>
        <w:widowControl w:val="0"/>
        <w:spacing w:before="120" w:after="120"/>
        <w:rPr>
          <w:snapToGrid w:val="0"/>
          <w:szCs w:val="24"/>
          <w:lang w:eastAsia="fi-FI"/>
        </w:rPr>
      </w:pPr>
      <w:r w:rsidRPr="00432121">
        <w:rPr>
          <w:snapToGrid w:val="0"/>
          <w:szCs w:val="24"/>
          <w:lang w:eastAsia="fi-FI"/>
        </w:rPr>
        <w:t>This subset makes only one refinement to the core composition necessary (i.e. evaluation of a dataset to show that the products with 9 % active substance are effective against target organism 2 or not), as all the other areas (human health, environment and phys. chem/hazard) are covered already by the assessment of the core.</w:t>
      </w:r>
    </w:p>
    <w:p w14:paraId="35435B3D" w14:textId="77777777" w:rsidR="00432121" w:rsidRDefault="00432121" w:rsidP="00432121">
      <w:pPr>
        <w:widowControl w:val="0"/>
        <w:spacing w:before="120" w:after="120"/>
        <w:rPr>
          <w:snapToGrid w:val="0"/>
          <w:szCs w:val="24"/>
          <w:lang w:eastAsia="fi-FI"/>
        </w:rPr>
      </w:pPr>
      <w:r w:rsidRPr="00432121">
        <w:rPr>
          <w:snapToGrid w:val="0"/>
          <w:szCs w:val="24"/>
          <w:lang w:eastAsia="fi-FI"/>
        </w:rPr>
        <w:t xml:space="preserve">However, if the subset is considered as necessary in order to support para. 77 of Annex VI of the BPR then it would not be included as part of the refinements described in section 9 of </w:t>
      </w:r>
      <w:r w:rsidR="00A77131">
        <w:rPr>
          <w:snapToGrid w:val="0"/>
          <w:szCs w:val="24"/>
          <w:lang w:eastAsia="fi-FI"/>
        </w:rPr>
        <w:t>point 3.2</w:t>
      </w:r>
      <w:r w:rsidR="0066021C">
        <w:rPr>
          <w:snapToGrid w:val="0"/>
          <w:szCs w:val="24"/>
          <w:lang w:eastAsia="fi-FI"/>
        </w:rPr>
        <w:t>.4</w:t>
      </w:r>
      <w:r w:rsidRPr="00432121">
        <w:rPr>
          <w:snapToGrid w:val="0"/>
          <w:szCs w:val="24"/>
          <w:lang w:eastAsia="fi-FI"/>
        </w:rPr>
        <w:t xml:space="preserve"> for which an upper limit of three is normally applied (i.e. the three refinements described in section 9 can be used on other subsets or extensions within the family).</w:t>
      </w:r>
    </w:p>
    <w:p w14:paraId="740FF685" w14:textId="77777777" w:rsidR="001E7FA1" w:rsidRDefault="001E7FA1" w:rsidP="00432121">
      <w:pPr>
        <w:widowControl w:val="0"/>
        <w:spacing w:before="120" w:after="120"/>
        <w:rPr>
          <w:snapToGrid w:val="0"/>
          <w:szCs w:val="24"/>
          <w:lang w:eastAsia="fi-FI"/>
        </w:rPr>
        <w:sectPr w:rsidR="001E7FA1" w:rsidSect="00385DDA">
          <w:pgSz w:w="11906" w:h="16838"/>
          <w:pgMar w:top="1020" w:right="1701" w:bottom="1020" w:left="1587" w:header="601" w:footer="1077" w:gutter="0"/>
          <w:cols w:space="720"/>
          <w:titlePg/>
          <w:docGrid w:linePitch="326"/>
        </w:sectPr>
      </w:pPr>
    </w:p>
    <w:p w14:paraId="23713179" w14:textId="77777777" w:rsidR="001E7FA1" w:rsidRDefault="00E12222" w:rsidP="00E12222">
      <w:pPr>
        <w:pStyle w:val="Heading1"/>
        <w:numPr>
          <w:ilvl w:val="0"/>
          <w:numId w:val="0"/>
        </w:numPr>
        <w:ind w:left="482" w:hanging="482"/>
        <w:rPr>
          <w:snapToGrid w:val="0"/>
          <w:lang w:eastAsia="fi-FI"/>
        </w:rPr>
      </w:pPr>
      <w:r>
        <w:rPr>
          <w:snapToGrid w:val="0"/>
          <w:lang w:eastAsia="fi-FI"/>
        </w:rPr>
        <w:lastRenderedPageBreak/>
        <w:t>Example regarding extension</w:t>
      </w:r>
    </w:p>
    <w:p w14:paraId="4883AAD3" w14:textId="77777777" w:rsidR="00E12222" w:rsidRPr="00845A73" w:rsidRDefault="00E12222" w:rsidP="00E12222">
      <w:r w:rsidRPr="00845A73">
        <w:t xml:space="preserve">While the second use (target organism 2) from </w:t>
      </w:r>
      <w:r w:rsidR="0066021C">
        <w:t>Table 8</w:t>
      </w:r>
      <w:r w:rsidRPr="00845A73">
        <w:t xml:space="preserve"> can be presented as a subset, there is another use for some products similar to that of the BPF dossier prepared so far. Some of the parameters of this additional use are the same (e.g. product type, target organism, application rate and type as well as packaging) as for use 1 evaluated within the core, but the field of use is different. The conditions for this additional field of use are more demanding (e.g. outdoor instead of indoor use) and in order to be effective under these harsher conditions, co-formulant 2 needs to be added which is a substance of concern for human health. At the same time the perfumes are removed (now overall only 2.5 % PPD instead of 5% in core and subset). The products belonging to the additional use (e.g. outdoor instead of indoor use) cannot be presented as a subset to the core because they include co-formulant 2 which is not part of the core formulation, and while they still include “PPD” this is only present at 2.5% which is outside of the specified variations of the core.</w:t>
      </w:r>
    </w:p>
    <w:p w14:paraId="7E3D3F82" w14:textId="77777777" w:rsidR="00E12222" w:rsidRPr="00845A73" w:rsidRDefault="00E12222" w:rsidP="00E12222">
      <w:pPr>
        <w:jc w:val="center"/>
      </w:pPr>
      <w:r w:rsidRPr="00845A73">
        <w:rPr>
          <w:noProof/>
          <w:lang w:val="fr-BE" w:eastAsia="fr-BE"/>
        </w:rPr>
        <w:drawing>
          <wp:inline distT="0" distB="0" distL="0" distR="0" wp14:anchorId="6560904D" wp14:editId="448CB8D5">
            <wp:extent cx="5140800" cy="3157200"/>
            <wp:effectExtent l="0" t="0" r="3175" b="5715"/>
            <wp:docPr id="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ex 5 Example Extension.PNG"/>
                    <pic:cNvPicPr/>
                  </pic:nvPicPr>
                  <pic:blipFill>
                    <a:blip r:embed="rId31">
                      <a:extLst>
                        <a:ext uri="{28A0092B-C50C-407E-A947-70E740481C1C}">
                          <a14:useLocalDpi xmlns:a14="http://schemas.microsoft.com/office/drawing/2010/main" val="0"/>
                        </a:ext>
                      </a:extLst>
                    </a:blip>
                    <a:stretch>
                      <a:fillRect/>
                    </a:stretch>
                  </pic:blipFill>
                  <pic:spPr>
                    <a:xfrm>
                      <a:off x="0" y="0"/>
                      <a:ext cx="5140800" cy="3157200"/>
                    </a:xfrm>
                    <a:prstGeom prst="rect">
                      <a:avLst/>
                    </a:prstGeom>
                  </pic:spPr>
                </pic:pic>
              </a:graphicData>
            </a:graphic>
          </wp:inline>
        </w:drawing>
      </w:r>
    </w:p>
    <w:p w14:paraId="0EBA5CC9" w14:textId="77777777" w:rsidR="00E12222" w:rsidRPr="00845A73" w:rsidRDefault="001E14DE" w:rsidP="00E12222">
      <w:pPr>
        <w:jc w:val="center"/>
      </w:pPr>
      <w:r>
        <w:rPr>
          <w:b/>
        </w:rPr>
        <w:t>Figure 8</w:t>
      </w:r>
      <w:r w:rsidR="00E12222" w:rsidRPr="00845A73">
        <w:rPr>
          <w:b/>
        </w:rPr>
        <w:t xml:space="preserve">: </w:t>
      </w:r>
      <w:r w:rsidR="00E12222" w:rsidRPr="00845A73">
        <w:t>Visualisation of core and extension.</w:t>
      </w:r>
    </w:p>
    <w:p w14:paraId="1E86368E" w14:textId="77777777" w:rsidR="00E12222" w:rsidRPr="00845A73" w:rsidRDefault="00E12222" w:rsidP="00E12222">
      <w:r w:rsidRPr="00845A73">
        <w:t>However, the produc</w:t>
      </w:r>
      <w:r w:rsidR="0066021C">
        <w:t xml:space="preserve">ts belonging to additional use </w:t>
      </w:r>
      <w:r w:rsidRPr="00845A73">
        <w:t>(e.g. outdoor instead of indoor use) can be added to the BPF as an extension as the formulation range required is outside of the core composition (see section 7</w:t>
      </w:r>
      <w:r w:rsidR="0066021C">
        <w:t xml:space="preserve"> above of point 3.</w:t>
      </w:r>
      <w:r w:rsidR="00DD2CED">
        <w:t>2</w:t>
      </w:r>
      <w:r w:rsidR="0066021C">
        <w:t>.4</w:t>
      </w:r>
      <w:r w:rsidRPr="00845A73">
        <w:t>).</w:t>
      </w:r>
    </w:p>
    <w:p w14:paraId="1DE7AD85" w14:textId="2C31549F" w:rsidR="00E12222" w:rsidRDefault="00E12222" w:rsidP="00E12222">
      <w:r w:rsidRPr="00E97422">
        <w:t>In this case the overall Level 1 family will be made up of a combination of both the core and extension compositions.</w:t>
      </w:r>
    </w:p>
    <w:p w14:paraId="5BF8892D" w14:textId="77777777" w:rsidR="00A248D9" w:rsidRDefault="00A248D9" w:rsidP="00E12222">
      <w:pPr>
        <w:sectPr w:rsidR="00A248D9" w:rsidSect="00385DDA">
          <w:pgSz w:w="11906" w:h="16838"/>
          <w:pgMar w:top="1020" w:right="1701" w:bottom="1020" w:left="1587" w:header="601" w:footer="1077" w:gutter="0"/>
          <w:cols w:space="720"/>
          <w:titlePg/>
          <w:docGrid w:linePitch="326"/>
        </w:sectPr>
      </w:pPr>
    </w:p>
    <w:tbl>
      <w:tblPr>
        <w:tblStyle w:val="TableGrid"/>
        <w:tblW w:w="0" w:type="auto"/>
        <w:tblLook w:val="04A0" w:firstRow="1" w:lastRow="0" w:firstColumn="1" w:lastColumn="0" w:noHBand="0" w:noVBand="1"/>
      </w:tblPr>
      <w:tblGrid>
        <w:gridCol w:w="1449"/>
        <w:gridCol w:w="1589"/>
        <w:gridCol w:w="957"/>
        <w:gridCol w:w="957"/>
        <w:gridCol w:w="967"/>
        <w:gridCol w:w="981"/>
        <w:gridCol w:w="958"/>
        <w:gridCol w:w="976"/>
      </w:tblGrid>
      <w:tr w:rsidR="00E12222" w:rsidRPr="00571546" w14:paraId="35C1E00E" w14:textId="77777777" w:rsidTr="001E14DE">
        <w:tc>
          <w:tcPr>
            <w:tcW w:w="1449" w:type="dxa"/>
            <w:vMerge w:val="restart"/>
            <w:vAlign w:val="center"/>
          </w:tcPr>
          <w:p w14:paraId="68B37696" w14:textId="77777777" w:rsidR="00E12222" w:rsidRPr="00D35C32" w:rsidRDefault="00E12222" w:rsidP="0087212A">
            <w:pPr>
              <w:jc w:val="center"/>
              <w:rPr>
                <w:rFonts w:ascii="Times New Roman" w:hAnsi="Times New Roman"/>
                <w:b/>
              </w:rPr>
            </w:pPr>
            <w:r w:rsidRPr="00D35C32">
              <w:rPr>
                <w:rFonts w:ascii="Times New Roman" w:hAnsi="Times New Roman"/>
                <w:b/>
              </w:rPr>
              <w:lastRenderedPageBreak/>
              <w:t>Ingredients</w:t>
            </w:r>
          </w:p>
        </w:tc>
        <w:tc>
          <w:tcPr>
            <w:tcW w:w="1589" w:type="dxa"/>
            <w:vMerge w:val="restart"/>
            <w:vAlign w:val="center"/>
          </w:tcPr>
          <w:p w14:paraId="47D94045" w14:textId="77777777" w:rsidR="00E12222" w:rsidRPr="00D35C32" w:rsidRDefault="00E12222" w:rsidP="0087212A">
            <w:pPr>
              <w:jc w:val="center"/>
              <w:rPr>
                <w:rFonts w:ascii="Times New Roman" w:hAnsi="Times New Roman"/>
                <w:b/>
              </w:rPr>
            </w:pPr>
            <w:r w:rsidRPr="00D35C32">
              <w:rPr>
                <w:rFonts w:ascii="Times New Roman" w:hAnsi="Times New Roman"/>
                <w:b/>
              </w:rPr>
              <w:t>Classification</w:t>
            </w:r>
          </w:p>
        </w:tc>
        <w:tc>
          <w:tcPr>
            <w:tcW w:w="1914" w:type="dxa"/>
            <w:gridSpan w:val="2"/>
            <w:shd w:val="clear" w:color="auto" w:fill="auto"/>
          </w:tcPr>
          <w:p w14:paraId="7483607E" w14:textId="77777777" w:rsidR="00E12222" w:rsidRPr="00D35C32" w:rsidRDefault="00E12222" w:rsidP="0087212A">
            <w:pPr>
              <w:jc w:val="center"/>
              <w:rPr>
                <w:rFonts w:ascii="Times New Roman" w:hAnsi="Times New Roman"/>
                <w:b/>
                <w:i/>
              </w:rPr>
            </w:pPr>
            <w:r w:rsidRPr="00D35C32">
              <w:rPr>
                <w:rFonts w:ascii="Times New Roman" w:hAnsi="Times New Roman"/>
                <w:b/>
                <w:i/>
              </w:rPr>
              <w:t>Level 1</w:t>
            </w:r>
          </w:p>
        </w:tc>
        <w:tc>
          <w:tcPr>
            <w:tcW w:w="1948" w:type="dxa"/>
            <w:gridSpan w:val="2"/>
            <w:shd w:val="clear" w:color="auto" w:fill="FFC000"/>
            <w:vAlign w:val="center"/>
          </w:tcPr>
          <w:p w14:paraId="6F19C246" w14:textId="77777777" w:rsidR="00E12222" w:rsidRPr="00D35C32" w:rsidRDefault="00E12222" w:rsidP="0087212A">
            <w:pPr>
              <w:jc w:val="center"/>
              <w:rPr>
                <w:rFonts w:ascii="Times New Roman" w:hAnsi="Times New Roman"/>
                <w:b/>
              </w:rPr>
            </w:pPr>
            <w:r w:rsidRPr="00D35C32">
              <w:rPr>
                <w:rFonts w:ascii="Times New Roman" w:hAnsi="Times New Roman"/>
                <w:b/>
              </w:rPr>
              <w:t>Core</w:t>
            </w:r>
          </w:p>
          <w:p w14:paraId="4A3EE50D" w14:textId="77777777" w:rsidR="00E12222" w:rsidRPr="00D35C32" w:rsidRDefault="00E12222" w:rsidP="0087212A">
            <w:pPr>
              <w:jc w:val="center"/>
              <w:rPr>
                <w:rFonts w:ascii="Times New Roman" w:hAnsi="Times New Roman"/>
                <w:b/>
              </w:rPr>
            </w:pPr>
            <w:r w:rsidRPr="00D35C32">
              <w:rPr>
                <w:rFonts w:ascii="Times New Roman" w:hAnsi="Times New Roman"/>
                <w:b/>
              </w:rPr>
              <w:t>Composition</w:t>
            </w:r>
          </w:p>
        </w:tc>
        <w:tc>
          <w:tcPr>
            <w:tcW w:w="1934" w:type="dxa"/>
            <w:gridSpan w:val="2"/>
            <w:shd w:val="clear" w:color="auto" w:fill="FF0000"/>
            <w:vAlign w:val="center"/>
          </w:tcPr>
          <w:p w14:paraId="69E5F3AB" w14:textId="77777777" w:rsidR="00E12222" w:rsidRPr="00571546" w:rsidRDefault="00E12222" w:rsidP="0087212A">
            <w:pPr>
              <w:jc w:val="center"/>
              <w:rPr>
                <w:b/>
                <w:sz w:val="16"/>
              </w:rPr>
            </w:pPr>
            <w:r w:rsidRPr="00571546">
              <w:rPr>
                <w:b/>
                <w:sz w:val="16"/>
              </w:rPr>
              <w:t>Extension</w:t>
            </w:r>
          </w:p>
        </w:tc>
      </w:tr>
      <w:tr w:rsidR="00E12222" w:rsidRPr="00571546" w14:paraId="62AE1616" w14:textId="77777777" w:rsidTr="001E14DE">
        <w:tc>
          <w:tcPr>
            <w:tcW w:w="1449" w:type="dxa"/>
            <w:vMerge/>
            <w:vAlign w:val="center"/>
          </w:tcPr>
          <w:p w14:paraId="69BD595E" w14:textId="77777777" w:rsidR="00E12222" w:rsidRPr="00D35C32" w:rsidRDefault="00E12222" w:rsidP="0087212A">
            <w:pPr>
              <w:jc w:val="center"/>
              <w:rPr>
                <w:rFonts w:ascii="Times New Roman" w:hAnsi="Times New Roman"/>
              </w:rPr>
            </w:pPr>
          </w:p>
        </w:tc>
        <w:tc>
          <w:tcPr>
            <w:tcW w:w="1589" w:type="dxa"/>
            <w:vMerge/>
            <w:vAlign w:val="center"/>
          </w:tcPr>
          <w:p w14:paraId="201A54A6" w14:textId="77777777" w:rsidR="00E12222" w:rsidRPr="00D35C32" w:rsidRDefault="00E12222" w:rsidP="0087212A">
            <w:pPr>
              <w:jc w:val="center"/>
              <w:rPr>
                <w:rFonts w:ascii="Times New Roman" w:hAnsi="Times New Roman"/>
              </w:rPr>
            </w:pPr>
          </w:p>
        </w:tc>
        <w:tc>
          <w:tcPr>
            <w:tcW w:w="957" w:type="dxa"/>
            <w:shd w:val="clear" w:color="auto" w:fill="auto"/>
            <w:vAlign w:val="center"/>
          </w:tcPr>
          <w:p w14:paraId="2D2E348E" w14:textId="77777777" w:rsidR="00E12222" w:rsidRPr="00D35C32" w:rsidRDefault="00E12222" w:rsidP="0087212A">
            <w:pPr>
              <w:jc w:val="center"/>
              <w:rPr>
                <w:rFonts w:ascii="Times New Roman" w:hAnsi="Times New Roman"/>
                <w:b/>
                <w:i/>
              </w:rPr>
            </w:pPr>
            <w:r w:rsidRPr="00D35C32">
              <w:rPr>
                <w:rFonts w:ascii="Times New Roman" w:hAnsi="Times New Roman"/>
                <w:b/>
                <w:i/>
              </w:rPr>
              <w:t>Min (%)</w:t>
            </w:r>
          </w:p>
        </w:tc>
        <w:tc>
          <w:tcPr>
            <w:tcW w:w="957" w:type="dxa"/>
            <w:shd w:val="clear" w:color="auto" w:fill="auto"/>
            <w:vAlign w:val="center"/>
          </w:tcPr>
          <w:p w14:paraId="60A2F3AA" w14:textId="77777777" w:rsidR="00E12222" w:rsidRPr="00D35C32" w:rsidRDefault="00E12222" w:rsidP="0087212A">
            <w:pPr>
              <w:jc w:val="center"/>
              <w:rPr>
                <w:rFonts w:ascii="Times New Roman" w:hAnsi="Times New Roman"/>
                <w:b/>
                <w:i/>
              </w:rPr>
            </w:pPr>
            <w:r w:rsidRPr="00D35C32">
              <w:rPr>
                <w:rFonts w:ascii="Times New Roman" w:hAnsi="Times New Roman"/>
                <w:b/>
                <w:i/>
              </w:rPr>
              <w:t>Max (%)</w:t>
            </w:r>
          </w:p>
        </w:tc>
        <w:tc>
          <w:tcPr>
            <w:tcW w:w="967" w:type="dxa"/>
            <w:shd w:val="clear" w:color="auto" w:fill="FFC000"/>
            <w:vAlign w:val="center"/>
          </w:tcPr>
          <w:p w14:paraId="666AB6EB" w14:textId="77777777" w:rsidR="00E12222" w:rsidRPr="00D35C32" w:rsidRDefault="00E12222" w:rsidP="0087212A">
            <w:pPr>
              <w:jc w:val="center"/>
              <w:rPr>
                <w:rFonts w:ascii="Times New Roman" w:hAnsi="Times New Roman"/>
                <w:b/>
              </w:rPr>
            </w:pPr>
            <w:r w:rsidRPr="00D35C32">
              <w:rPr>
                <w:rFonts w:ascii="Times New Roman" w:hAnsi="Times New Roman"/>
                <w:b/>
              </w:rPr>
              <w:t>Min (%)</w:t>
            </w:r>
          </w:p>
        </w:tc>
        <w:tc>
          <w:tcPr>
            <w:tcW w:w="981" w:type="dxa"/>
            <w:shd w:val="clear" w:color="auto" w:fill="FFC000"/>
            <w:vAlign w:val="center"/>
          </w:tcPr>
          <w:p w14:paraId="26F8405F" w14:textId="77777777" w:rsidR="00E12222" w:rsidRPr="00D35C32" w:rsidRDefault="00E12222" w:rsidP="0087212A">
            <w:pPr>
              <w:jc w:val="center"/>
              <w:rPr>
                <w:rFonts w:ascii="Times New Roman" w:hAnsi="Times New Roman"/>
                <w:b/>
              </w:rPr>
            </w:pPr>
            <w:r w:rsidRPr="00D35C32">
              <w:rPr>
                <w:rFonts w:ascii="Times New Roman" w:hAnsi="Times New Roman"/>
                <w:b/>
              </w:rPr>
              <w:t>Max (%)</w:t>
            </w:r>
          </w:p>
        </w:tc>
        <w:tc>
          <w:tcPr>
            <w:tcW w:w="958" w:type="dxa"/>
            <w:shd w:val="clear" w:color="auto" w:fill="FF0000"/>
            <w:vAlign w:val="center"/>
          </w:tcPr>
          <w:p w14:paraId="1CCA3EAD" w14:textId="77777777" w:rsidR="00E12222" w:rsidRPr="00571546" w:rsidRDefault="00E12222" w:rsidP="0087212A">
            <w:pPr>
              <w:jc w:val="center"/>
              <w:rPr>
                <w:sz w:val="16"/>
              </w:rPr>
            </w:pPr>
            <w:r w:rsidRPr="00571546">
              <w:rPr>
                <w:b/>
                <w:sz w:val="16"/>
              </w:rPr>
              <w:t>Min (%)</w:t>
            </w:r>
          </w:p>
        </w:tc>
        <w:tc>
          <w:tcPr>
            <w:tcW w:w="976" w:type="dxa"/>
            <w:shd w:val="clear" w:color="auto" w:fill="FF0000"/>
            <w:vAlign w:val="center"/>
          </w:tcPr>
          <w:p w14:paraId="15D3353D" w14:textId="77777777" w:rsidR="00E12222" w:rsidRPr="00571546" w:rsidRDefault="00E12222" w:rsidP="0087212A">
            <w:pPr>
              <w:jc w:val="center"/>
              <w:rPr>
                <w:sz w:val="16"/>
              </w:rPr>
            </w:pPr>
            <w:r w:rsidRPr="00571546">
              <w:rPr>
                <w:b/>
                <w:sz w:val="16"/>
              </w:rPr>
              <w:t>Max (%)</w:t>
            </w:r>
          </w:p>
        </w:tc>
      </w:tr>
      <w:tr w:rsidR="00E12222" w:rsidRPr="00571546" w14:paraId="4CD0FC1A" w14:textId="77777777" w:rsidTr="001E14DE">
        <w:tc>
          <w:tcPr>
            <w:tcW w:w="1449" w:type="dxa"/>
            <w:vAlign w:val="center"/>
          </w:tcPr>
          <w:p w14:paraId="4B923B49" w14:textId="77777777" w:rsidR="00E12222" w:rsidRPr="00D35C32" w:rsidRDefault="00E12222" w:rsidP="0087212A">
            <w:pPr>
              <w:jc w:val="center"/>
              <w:rPr>
                <w:rFonts w:ascii="Times New Roman" w:hAnsi="Times New Roman"/>
              </w:rPr>
            </w:pPr>
            <w:r w:rsidRPr="00D35C32">
              <w:rPr>
                <w:rFonts w:ascii="Times New Roman" w:hAnsi="Times New Roman"/>
              </w:rPr>
              <w:t>Active Substance</w:t>
            </w:r>
          </w:p>
        </w:tc>
        <w:tc>
          <w:tcPr>
            <w:tcW w:w="1589" w:type="dxa"/>
            <w:vAlign w:val="center"/>
          </w:tcPr>
          <w:p w14:paraId="43F92B92" w14:textId="77777777" w:rsidR="00E12222" w:rsidRPr="00D35C32" w:rsidRDefault="00E12222" w:rsidP="0087212A">
            <w:pPr>
              <w:jc w:val="center"/>
              <w:rPr>
                <w:rFonts w:ascii="Times New Roman" w:hAnsi="Times New Roman"/>
              </w:rPr>
            </w:pPr>
            <w:r w:rsidRPr="00D35C32">
              <w:rPr>
                <w:rFonts w:ascii="Times New Roman" w:hAnsi="Times New Roman"/>
              </w:rPr>
              <w:t>XYZ</w:t>
            </w:r>
          </w:p>
        </w:tc>
        <w:tc>
          <w:tcPr>
            <w:tcW w:w="957" w:type="dxa"/>
            <w:shd w:val="clear" w:color="auto" w:fill="auto"/>
            <w:vAlign w:val="center"/>
          </w:tcPr>
          <w:p w14:paraId="490967E4" w14:textId="77777777" w:rsidR="00E12222" w:rsidRPr="00D35C32" w:rsidRDefault="00E12222" w:rsidP="0087212A">
            <w:pPr>
              <w:jc w:val="center"/>
              <w:rPr>
                <w:rFonts w:ascii="Times New Roman" w:hAnsi="Times New Roman"/>
                <w:i/>
              </w:rPr>
            </w:pPr>
            <w:r w:rsidRPr="00D35C32">
              <w:rPr>
                <w:rFonts w:ascii="Times New Roman" w:hAnsi="Times New Roman"/>
                <w:i/>
              </w:rPr>
              <w:t>5</w:t>
            </w:r>
          </w:p>
        </w:tc>
        <w:tc>
          <w:tcPr>
            <w:tcW w:w="957" w:type="dxa"/>
            <w:shd w:val="clear" w:color="auto" w:fill="auto"/>
            <w:vAlign w:val="center"/>
          </w:tcPr>
          <w:p w14:paraId="08E3663B" w14:textId="77777777" w:rsidR="00E12222" w:rsidRPr="00D35C32" w:rsidRDefault="00E12222" w:rsidP="0087212A">
            <w:pPr>
              <w:jc w:val="center"/>
              <w:rPr>
                <w:rFonts w:ascii="Times New Roman" w:hAnsi="Times New Roman"/>
                <w:i/>
              </w:rPr>
            </w:pPr>
            <w:r w:rsidRPr="00D35C32">
              <w:rPr>
                <w:rFonts w:ascii="Times New Roman" w:hAnsi="Times New Roman"/>
                <w:i/>
              </w:rPr>
              <w:t>10</w:t>
            </w:r>
          </w:p>
        </w:tc>
        <w:tc>
          <w:tcPr>
            <w:tcW w:w="967" w:type="dxa"/>
            <w:shd w:val="clear" w:color="auto" w:fill="FFC000"/>
            <w:vAlign w:val="center"/>
          </w:tcPr>
          <w:p w14:paraId="16D59517" w14:textId="77777777" w:rsidR="00E12222" w:rsidRPr="00D35C32" w:rsidRDefault="00E12222" w:rsidP="0087212A">
            <w:pPr>
              <w:jc w:val="center"/>
              <w:rPr>
                <w:rFonts w:ascii="Times New Roman" w:hAnsi="Times New Roman"/>
              </w:rPr>
            </w:pPr>
            <w:r w:rsidRPr="00D35C32">
              <w:rPr>
                <w:rFonts w:ascii="Times New Roman" w:hAnsi="Times New Roman"/>
              </w:rPr>
              <w:t>5</w:t>
            </w:r>
          </w:p>
        </w:tc>
        <w:tc>
          <w:tcPr>
            <w:tcW w:w="981" w:type="dxa"/>
            <w:shd w:val="clear" w:color="auto" w:fill="FFC000"/>
            <w:vAlign w:val="center"/>
          </w:tcPr>
          <w:p w14:paraId="1AC55AEA" w14:textId="77777777" w:rsidR="00E12222" w:rsidRPr="00D35C32" w:rsidRDefault="00E12222" w:rsidP="0087212A">
            <w:pPr>
              <w:jc w:val="center"/>
              <w:rPr>
                <w:rFonts w:ascii="Times New Roman" w:hAnsi="Times New Roman"/>
              </w:rPr>
            </w:pPr>
            <w:r w:rsidRPr="00D35C32">
              <w:rPr>
                <w:rFonts w:ascii="Times New Roman" w:hAnsi="Times New Roman"/>
              </w:rPr>
              <w:t>10</w:t>
            </w:r>
          </w:p>
        </w:tc>
        <w:tc>
          <w:tcPr>
            <w:tcW w:w="958" w:type="dxa"/>
            <w:shd w:val="clear" w:color="auto" w:fill="FF0000"/>
            <w:vAlign w:val="center"/>
          </w:tcPr>
          <w:p w14:paraId="203D8865" w14:textId="77777777" w:rsidR="00E12222" w:rsidRPr="00571546" w:rsidRDefault="00E12222" w:rsidP="0087212A">
            <w:pPr>
              <w:jc w:val="center"/>
              <w:rPr>
                <w:sz w:val="16"/>
              </w:rPr>
            </w:pPr>
            <w:r w:rsidRPr="00571546">
              <w:rPr>
                <w:sz w:val="16"/>
              </w:rPr>
              <w:t>5</w:t>
            </w:r>
          </w:p>
        </w:tc>
        <w:tc>
          <w:tcPr>
            <w:tcW w:w="976" w:type="dxa"/>
            <w:shd w:val="clear" w:color="auto" w:fill="FF0000"/>
            <w:vAlign w:val="center"/>
          </w:tcPr>
          <w:p w14:paraId="73A645CF" w14:textId="77777777" w:rsidR="00E12222" w:rsidRPr="00571546" w:rsidRDefault="00E12222" w:rsidP="0087212A">
            <w:pPr>
              <w:jc w:val="center"/>
              <w:rPr>
                <w:sz w:val="16"/>
              </w:rPr>
            </w:pPr>
            <w:r w:rsidRPr="00571546">
              <w:rPr>
                <w:sz w:val="16"/>
              </w:rPr>
              <w:t>10</w:t>
            </w:r>
          </w:p>
        </w:tc>
      </w:tr>
      <w:tr w:rsidR="00E12222" w:rsidRPr="00571546" w14:paraId="5DD31219" w14:textId="77777777" w:rsidTr="001E14DE">
        <w:tc>
          <w:tcPr>
            <w:tcW w:w="1449" w:type="dxa"/>
            <w:vAlign w:val="center"/>
          </w:tcPr>
          <w:p w14:paraId="08644C7D" w14:textId="77777777" w:rsidR="00E12222" w:rsidRPr="00D35C32" w:rsidRDefault="00E12222" w:rsidP="0087212A">
            <w:pPr>
              <w:jc w:val="center"/>
              <w:rPr>
                <w:rFonts w:ascii="Times New Roman" w:hAnsi="Times New Roman"/>
              </w:rPr>
            </w:pPr>
            <w:r w:rsidRPr="00D35C32">
              <w:rPr>
                <w:rFonts w:ascii="Times New Roman" w:hAnsi="Times New Roman"/>
              </w:rPr>
              <w:t>Solvent</w:t>
            </w:r>
          </w:p>
        </w:tc>
        <w:tc>
          <w:tcPr>
            <w:tcW w:w="1589" w:type="dxa"/>
            <w:vAlign w:val="center"/>
          </w:tcPr>
          <w:p w14:paraId="0AD6FF20" w14:textId="77777777" w:rsidR="00E12222" w:rsidRPr="00D35C32" w:rsidRDefault="00E12222" w:rsidP="0087212A">
            <w:pPr>
              <w:jc w:val="center"/>
              <w:rPr>
                <w:rFonts w:ascii="Times New Roman" w:hAnsi="Times New Roman"/>
              </w:rPr>
            </w:pPr>
            <w:r w:rsidRPr="00D35C32">
              <w:rPr>
                <w:rFonts w:ascii="Times New Roman" w:hAnsi="Times New Roman"/>
              </w:rPr>
              <w:t>SoC ENV</w:t>
            </w:r>
          </w:p>
        </w:tc>
        <w:tc>
          <w:tcPr>
            <w:tcW w:w="957" w:type="dxa"/>
            <w:shd w:val="clear" w:color="auto" w:fill="auto"/>
            <w:vAlign w:val="center"/>
          </w:tcPr>
          <w:p w14:paraId="75062C70" w14:textId="77777777" w:rsidR="00E12222" w:rsidRPr="00D35C32" w:rsidRDefault="00E12222" w:rsidP="0087212A">
            <w:pPr>
              <w:jc w:val="center"/>
              <w:rPr>
                <w:rFonts w:ascii="Times New Roman" w:hAnsi="Times New Roman"/>
                <w:i/>
              </w:rPr>
            </w:pPr>
            <w:r w:rsidRPr="00D35C32">
              <w:rPr>
                <w:rFonts w:ascii="Times New Roman" w:hAnsi="Times New Roman"/>
                <w:i/>
              </w:rPr>
              <w:t>75</w:t>
            </w:r>
          </w:p>
        </w:tc>
        <w:tc>
          <w:tcPr>
            <w:tcW w:w="957" w:type="dxa"/>
            <w:shd w:val="clear" w:color="auto" w:fill="auto"/>
            <w:vAlign w:val="center"/>
          </w:tcPr>
          <w:p w14:paraId="08E3BF46" w14:textId="77777777" w:rsidR="00E12222" w:rsidRPr="00D35C32" w:rsidRDefault="00E12222" w:rsidP="0087212A">
            <w:pPr>
              <w:jc w:val="center"/>
              <w:rPr>
                <w:rFonts w:ascii="Times New Roman" w:hAnsi="Times New Roman"/>
                <w:i/>
              </w:rPr>
            </w:pPr>
            <w:r w:rsidRPr="00D35C32">
              <w:rPr>
                <w:rFonts w:ascii="Times New Roman" w:hAnsi="Times New Roman"/>
                <w:i/>
              </w:rPr>
              <w:t>85</w:t>
            </w:r>
          </w:p>
        </w:tc>
        <w:tc>
          <w:tcPr>
            <w:tcW w:w="967" w:type="dxa"/>
            <w:shd w:val="clear" w:color="auto" w:fill="FFC000"/>
            <w:vAlign w:val="center"/>
          </w:tcPr>
          <w:p w14:paraId="242D9A34" w14:textId="77777777" w:rsidR="00E12222" w:rsidRPr="00D35C32" w:rsidRDefault="00E12222" w:rsidP="0087212A">
            <w:pPr>
              <w:jc w:val="center"/>
              <w:rPr>
                <w:rFonts w:ascii="Times New Roman" w:hAnsi="Times New Roman"/>
              </w:rPr>
            </w:pPr>
            <w:r w:rsidRPr="00D35C32">
              <w:rPr>
                <w:rFonts w:ascii="Times New Roman" w:hAnsi="Times New Roman"/>
              </w:rPr>
              <w:t>75</w:t>
            </w:r>
          </w:p>
        </w:tc>
        <w:tc>
          <w:tcPr>
            <w:tcW w:w="981" w:type="dxa"/>
            <w:shd w:val="clear" w:color="auto" w:fill="FFC000"/>
            <w:vAlign w:val="center"/>
          </w:tcPr>
          <w:p w14:paraId="04817218" w14:textId="77777777" w:rsidR="00E12222" w:rsidRPr="00D35C32" w:rsidRDefault="00E12222" w:rsidP="0087212A">
            <w:pPr>
              <w:jc w:val="center"/>
              <w:rPr>
                <w:rFonts w:ascii="Times New Roman" w:hAnsi="Times New Roman"/>
              </w:rPr>
            </w:pPr>
            <w:r w:rsidRPr="00D35C32">
              <w:rPr>
                <w:rFonts w:ascii="Times New Roman" w:hAnsi="Times New Roman"/>
              </w:rPr>
              <w:t>85</w:t>
            </w:r>
          </w:p>
        </w:tc>
        <w:tc>
          <w:tcPr>
            <w:tcW w:w="958" w:type="dxa"/>
            <w:shd w:val="clear" w:color="auto" w:fill="FF0000"/>
            <w:vAlign w:val="center"/>
          </w:tcPr>
          <w:p w14:paraId="7502B4D8" w14:textId="77777777" w:rsidR="00E12222" w:rsidRPr="00571546" w:rsidRDefault="00E12222" w:rsidP="0087212A">
            <w:pPr>
              <w:jc w:val="center"/>
              <w:rPr>
                <w:sz w:val="16"/>
              </w:rPr>
            </w:pPr>
            <w:r w:rsidRPr="00571546">
              <w:rPr>
                <w:sz w:val="16"/>
              </w:rPr>
              <w:t>75</w:t>
            </w:r>
          </w:p>
        </w:tc>
        <w:tc>
          <w:tcPr>
            <w:tcW w:w="976" w:type="dxa"/>
            <w:shd w:val="clear" w:color="auto" w:fill="FF0000"/>
            <w:vAlign w:val="center"/>
          </w:tcPr>
          <w:p w14:paraId="03E0B02B" w14:textId="77777777" w:rsidR="00E12222" w:rsidRPr="00571546" w:rsidRDefault="00E12222" w:rsidP="0087212A">
            <w:pPr>
              <w:jc w:val="center"/>
              <w:rPr>
                <w:sz w:val="16"/>
              </w:rPr>
            </w:pPr>
            <w:r w:rsidRPr="00571546">
              <w:rPr>
                <w:sz w:val="16"/>
              </w:rPr>
              <w:t>85</w:t>
            </w:r>
          </w:p>
        </w:tc>
      </w:tr>
      <w:tr w:rsidR="00E12222" w:rsidRPr="00571546" w14:paraId="043186DF" w14:textId="77777777" w:rsidTr="001E14DE">
        <w:tc>
          <w:tcPr>
            <w:tcW w:w="1449" w:type="dxa"/>
            <w:vAlign w:val="center"/>
          </w:tcPr>
          <w:p w14:paraId="056A36EE" w14:textId="77777777" w:rsidR="00E12222" w:rsidRPr="00D35C32" w:rsidRDefault="00E12222" w:rsidP="0087212A">
            <w:pPr>
              <w:jc w:val="center"/>
              <w:rPr>
                <w:rFonts w:ascii="Times New Roman" w:hAnsi="Times New Roman"/>
              </w:rPr>
            </w:pPr>
            <w:r w:rsidRPr="00D35C32">
              <w:rPr>
                <w:rFonts w:ascii="Times New Roman" w:hAnsi="Times New Roman"/>
              </w:rPr>
              <w:t>Co-formulant 1</w:t>
            </w:r>
          </w:p>
        </w:tc>
        <w:tc>
          <w:tcPr>
            <w:tcW w:w="1589" w:type="dxa"/>
            <w:vAlign w:val="center"/>
          </w:tcPr>
          <w:p w14:paraId="56CA06E0" w14:textId="77777777" w:rsidR="00E12222" w:rsidRPr="00D35C32" w:rsidRDefault="00E12222" w:rsidP="0087212A">
            <w:pPr>
              <w:jc w:val="center"/>
              <w:rPr>
                <w:rFonts w:ascii="Times New Roman" w:hAnsi="Times New Roman"/>
              </w:rPr>
            </w:pPr>
            <w:r w:rsidRPr="00D35C32">
              <w:rPr>
                <w:rFonts w:ascii="Times New Roman" w:hAnsi="Times New Roman"/>
              </w:rPr>
              <w:t>SoC HH</w:t>
            </w:r>
          </w:p>
        </w:tc>
        <w:tc>
          <w:tcPr>
            <w:tcW w:w="957" w:type="dxa"/>
            <w:shd w:val="clear" w:color="auto" w:fill="auto"/>
            <w:vAlign w:val="center"/>
          </w:tcPr>
          <w:p w14:paraId="1F76A4FB" w14:textId="77777777" w:rsidR="00E12222" w:rsidRPr="00D35C32" w:rsidRDefault="00E12222" w:rsidP="0087212A">
            <w:pPr>
              <w:jc w:val="center"/>
              <w:rPr>
                <w:rFonts w:ascii="Times New Roman" w:hAnsi="Times New Roman"/>
                <w:i/>
              </w:rPr>
            </w:pPr>
            <w:r w:rsidRPr="00D35C32">
              <w:rPr>
                <w:rFonts w:ascii="Times New Roman" w:hAnsi="Times New Roman"/>
                <w:i/>
              </w:rPr>
              <w:t>5</w:t>
            </w:r>
          </w:p>
        </w:tc>
        <w:tc>
          <w:tcPr>
            <w:tcW w:w="957" w:type="dxa"/>
            <w:shd w:val="clear" w:color="auto" w:fill="auto"/>
            <w:vAlign w:val="center"/>
          </w:tcPr>
          <w:p w14:paraId="25A3F05A" w14:textId="77777777" w:rsidR="00E12222" w:rsidRPr="00D35C32" w:rsidRDefault="00E12222" w:rsidP="0087212A">
            <w:pPr>
              <w:jc w:val="center"/>
              <w:rPr>
                <w:rFonts w:ascii="Times New Roman" w:hAnsi="Times New Roman"/>
                <w:i/>
              </w:rPr>
            </w:pPr>
            <w:r w:rsidRPr="00D35C32">
              <w:rPr>
                <w:rFonts w:ascii="Times New Roman" w:hAnsi="Times New Roman"/>
                <w:i/>
              </w:rPr>
              <w:t>10</w:t>
            </w:r>
          </w:p>
        </w:tc>
        <w:tc>
          <w:tcPr>
            <w:tcW w:w="967" w:type="dxa"/>
            <w:shd w:val="clear" w:color="auto" w:fill="FFC000"/>
            <w:vAlign w:val="center"/>
          </w:tcPr>
          <w:p w14:paraId="1D4864E5" w14:textId="77777777" w:rsidR="00E12222" w:rsidRPr="00D35C32" w:rsidRDefault="00E12222" w:rsidP="0087212A">
            <w:pPr>
              <w:jc w:val="center"/>
              <w:rPr>
                <w:rFonts w:ascii="Times New Roman" w:hAnsi="Times New Roman"/>
              </w:rPr>
            </w:pPr>
            <w:r w:rsidRPr="00D35C32">
              <w:rPr>
                <w:rFonts w:ascii="Times New Roman" w:hAnsi="Times New Roman"/>
              </w:rPr>
              <w:t>5</w:t>
            </w:r>
          </w:p>
        </w:tc>
        <w:tc>
          <w:tcPr>
            <w:tcW w:w="981" w:type="dxa"/>
            <w:shd w:val="clear" w:color="auto" w:fill="FFC000"/>
            <w:vAlign w:val="center"/>
          </w:tcPr>
          <w:p w14:paraId="7D536181" w14:textId="77777777" w:rsidR="00E12222" w:rsidRPr="00D35C32" w:rsidRDefault="00E12222" w:rsidP="0087212A">
            <w:pPr>
              <w:jc w:val="center"/>
              <w:rPr>
                <w:rFonts w:ascii="Times New Roman" w:hAnsi="Times New Roman"/>
              </w:rPr>
            </w:pPr>
            <w:r w:rsidRPr="00D35C32">
              <w:rPr>
                <w:rFonts w:ascii="Times New Roman" w:hAnsi="Times New Roman"/>
              </w:rPr>
              <w:t>10</w:t>
            </w:r>
          </w:p>
        </w:tc>
        <w:tc>
          <w:tcPr>
            <w:tcW w:w="958" w:type="dxa"/>
            <w:shd w:val="clear" w:color="auto" w:fill="FF0000"/>
            <w:vAlign w:val="center"/>
          </w:tcPr>
          <w:p w14:paraId="02D09A89" w14:textId="77777777" w:rsidR="00E12222" w:rsidRPr="00571546" w:rsidRDefault="00E12222" w:rsidP="0087212A">
            <w:pPr>
              <w:jc w:val="center"/>
              <w:rPr>
                <w:sz w:val="16"/>
              </w:rPr>
            </w:pPr>
            <w:r w:rsidRPr="00571546">
              <w:rPr>
                <w:sz w:val="16"/>
              </w:rPr>
              <w:t>5</w:t>
            </w:r>
          </w:p>
        </w:tc>
        <w:tc>
          <w:tcPr>
            <w:tcW w:w="976" w:type="dxa"/>
            <w:shd w:val="clear" w:color="auto" w:fill="FF0000"/>
            <w:vAlign w:val="center"/>
          </w:tcPr>
          <w:p w14:paraId="17C5393D" w14:textId="77777777" w:rsidR="00E12222" w:rsidRPr="00571546" w:rsidRDefault="00E12222" w:rsidP="0087212A">
            <w:pPr>
              <w:jc w:val="center"/>
              <w:rPr>
                <w:sz w:val="16"/>
              </w:rPr>
            </w:pPr>
            <w:r w:rsidRPr="00571546">
              <w:rPr>
                <w:sz w:val="16"/>
              </w:rPr>
              <w:t>10</w:t>
            </w:r>
          </w:p>
        </w:tc>
      </w:tr>
      <w:tr w:rsidR="00E12222" w:rsidRPr="00571546" w14:paraId="6CB34A7C" w14:textId="77777777" w:rsidTr="001E14DE">
        <w:tc>
          <w:tcPr>
            <w:tcW w:w="1449" w:type="dxa"/>
            <w:vAlign w:val="center"/>
          </w:tcPr>
          <w:p w14:paraId="7B0FDBD8" w14:textId="77777777" w:rsidR="00E12222" w:rsidRPr="00D35C32" w:rsidRDefault="00E12222" w:rsidP="0087212A">
            <w:pPr>
              <w:jc w:val="center"/>
              <w:rPr>
                <w:rFonts w:ascii="Times New Roman" w:hAnsi="Times New Roman"/>
              </w:rPr>
            </w:pPr>
            <w:r w:rsidRPr="00D35C32">
              <w:rPr>
                <w:rFonts w:ascii="Times New Roman" w:hAnsi="Times New Roman"/>
              </w:rPr>
              <w:t>PPD</w:t>
            </w:r>
          </w:p>
        </w:tc>
        <w:tc>
          <w:tcPr>
            <w:tcW w:w="1589" w:type="dxa"/>
            <w:vAlign w:val="center"/>
          </w:tcPr>
          <w:p w14:paraId="2A71EE92" w14:textId="77777777" w:rsidR="00E12222" w:rsidRPr="00D35C32" w:rsidRDefault="00E12222" w:rsidP="0087212A">
            <w:pPr>
              <w:jc w:val="center"/>
              <w:rPr>
                <w:rFonts w:ascii="Times New Roman" w:hAnsi="Times New Roman"/>
              </w:rPr>
            </w:pPr>
            <w:r w:rsidRPr="00D35C32">
              <w:rPr>
                <w:rFonts w:ascii="Times New Roman" w:hAnsi="Times New Roman"/>
              </w:rPr>
              <w:t>-</w:t>
            </w:r>
          </w:p>
        </w:tc>
        <w:tc>
          <w:tcPr>
            <w:tcW w:w="957" w:type="dxa"/>
            <w:shd w:val="clear" w:color="auto" w:fill="auto"/>
            <w:vAlign w:val="center"/>
          </w:tcPr>
          <w:p w14:paraId="6FDA2FAD" w14:textId="77777777" w:rsidR="00E12222" w:rsidRPr="00D35C32" w:rsidRDefault="00E12222" w:rsidP="0087212A">
            <w:pPr>
              <w:jc w:val="center"/>
              <w:rPr>
                <w:rFonts w:ascii="Times New Roman" w:hAnsi="Times New Roman"/>
                <w:i/>
              </w:rPr>
            </w:pPr>
            <w:r w:rsidRPr="00D35C32">
              <w:rPr>
                <w:rFonts w:ascii="Times New Roman" w:hAnsi="Times New Roman"/>
                <w:i/>
              </w:rPr>
              <w:t>2.5</w:t>
            </w:r>
          </w:p>
        </w:tc>
        <w:tc>
          <w:tcPr>
            <w:tcW w:w="957" w:type="dxa"/>
            <w:shd w:val="clear" w:color="auto" w:fill="auto"/>
            <w:vAlign w:val="center"/>
          </w:tcPr>
          <w:p w14:paraId="2063FB7B" w14:textId="77777777" w:rsidR="00E12222" w:rsidRPr="00D35C32" w:rsidRDefault="00E12222" w:rsidP="0087212A">
            <w:pPr>
              <w:jc w:val="center"/>
              <w:rPr>
                <w:rFonts w:ascii="Times New Roman" w:hAnsi="Times New Roman"/>
                <w:i/>
              </w:rPr>
            </w:pPr>
            <w:r w:rsidRPr="00D35C32">
              <w:rPr>
                <w:rFonts w:ascii="Times New Roman" w:hAnsi="Times New Roman"/>
                <w:i/>
              </w:rPr>
              <w:t>5</w:t>
            </w:r>
          </w:p>
        </w:tc>
        <w:tc>
          <w:tcPr>
            <w:tcW w:w="967" w:type="dxa"/>
            <w:shd w:val="clear" w:color="auto" w:fill="FFC000"/>
            <w:vAlign w:val="center"/>
          </w:tcPr>
          <w:p w14:paraId="36B36C6F" w14:textId="77777777" w:rsidR="00E12222" w:rsidRPr="00D35C32" w:rsidRDefault="00E12222" w:rsidP="0087212A">
            <w:pPr>
              <w:jc w:val="center"/>
              <w:rPr>
                <w:rFonts w:ascii="Times New Roman" w:hAnsi="Times New Roman"/>
              </w:rPr>
            </w:pPr>
            <w:r w:rsidRPr="00D35C32">
              <w:rPr>
                <w:rFonts w:ascii="Times New Roman" w:hAnsi="Times New Roman"/>
              </w:rPr>
              <w:t>5</w:t>
            </w:r>
          </w:p>
        </w:tc>
        <w:tc>
          <w:tcPr>
            <w:tcW w:w="981" w:type="dxa"/>
            <w:shd w:val="clear" w:color="auto" w:fill="FFC000"/>
            <w:vAlign w:val="center"/>
          </w:tcPr>
          <w:p w14:paraId="1C53B47F" w14:textId="77777777" w:rsidR="00E12222" w:rsidRPr="00D35C32" w:rsidRDefault="00E12222" w:rsidP="0087212A">
            <w:pPr>
              <w:jc w:val="center"/>
              <w:rPr>
                <w:rFonts w:ascii="Times New Roman" w:hAnsi="Times New Roman"/>
              </w:rPr>
            </w:pPr>
            <w:r w:rsidRPr="00D35C32">
              <w:rPr>
                <w:rFonts w:ascii="Times New Roman" w:hAnsi="Times New Roman"/>
              </w:rPr>
              <w:t>5</w:t>
            </w:r>
          </w:p>
        </w:tc>
        <w:tc>
          <w:tcPr>
            <w:tcW w:w="958" w:type="dxa"/>
            <w:shd w:val="clear" w:color="auto" w:fill="FF0000"/>
            <w:vAlign w:val="center"/>
          </w:tcPr>
          <w:p w14:paraId="52401B44" w14:textId="77777777" w:rsidR="00E12222" w:rsidRPr="00571546" w:rsidRDefault="00E12222" w:rsidP="0087212A">
            <w:pPr>
              <w:jc w:val="center"/>
              <w:rPr>
                <w:sz w:val="16"/>
              </w:rPr>
            </w:pPr>
            <w:r w:rsidRPr="00571546">
              <w:rPr>
                <w:sz w:val="16"/>
              </w:rPr>
              <w:t>2.5</w:t>
            </w:r>
          </w:p>
        </w:tc>
        <w:tc>
          <w:tcPr>
            <w:tcW w:w="976" w:type="dxa"/>
            <w:shd w:val="clear" w:color="auto" w:fill="FF0000"/>
            <w:vAlign w:val="center"/>
          </w:tcPr>
          <w:p w14:paraId="0062E336" w14:textId="77777777" w:rsidR="00E12222" w:rsidRPr="00571546" w:rsidRDefault="00E12222" w:rsidP="0087212A">
            <w:pPr>
              <w:jc w:val="center"/>
              <w:rPr>
                <w:sz w:val="16"/>
              </w:rPr>
            </w:pPr>
            <w:r w:rsidRPr="00571546">
              <w:rPr>
                <w:sz w:val="16"/>
              </w:rPr>
              <w:t>2.5</w:t>
            </w:r>
          </w:p>
        </w:tc>
      </w:tr>
      <w:tr w:rsidR="00E12222" w:rsidRPr="00571546" w14:paraId="6DD700E0" w14:textId="77777777" w:rsidTr="001E14DE">
        <w:tc>
          <w:tcPr>
            <w:tcW w:w="1449" w:type="dxa"/>
            <w:vAlign w:val="center"/>
          </w:tcPr>
          <w:p w14:paraId="353D55E9" w14:textId="77777777" w:rsidR="00E12222" w:rsidRPr="00D35C32" w:rsidRDefault="00E12222" w:rsidP="0087212A">
            <w:pPr>
              <w:jc w:val="center"/>
              <w:rPr>
                <w:rFonts w:ascii="Times New Roman" w:hAnsi="Times New Roman"/>
              </w:rPr>
            </w:pPr>
            <w:r w:rsidRPr="00D35C32">
              <w:rPr>
                <w:rFonts w:ascii="Times New Roman" w:hAnsi="Times New Roman"/>
              </w:rPr>
              <w:t>Co-formulant 2</w:t>
            </w:r>
          </w:p>
        </w:tc>
        <w:tc>
          <w:tcPr>
            <w:tcW w:w="1589" w:type="dxa"/>
            <w:vAlign w:val="center"/>
          </w:tcPr>
          <w:p w14:paraId="0D158BDD" w14:textId="77777777" w:rsidR="00E12222" w:rsidRPr="00D35C32" w:rsidRDefault="00E12222" w:rsidP="0087212A">
            <w:pPr>
              <w:jc w:val="center"/>
              <w:rPr>
                <w:rFonts w:ascii="Times New Roman" w:hAnsi="Times New Roman"/>
              </w:rPr>
            </w:pPr>
            <w:r w:rsidRPr="00D35C32">
              <w:rPr>
                <w:rFonts w:ascii="Times New Roman" w:hAnsi="Times New Roman"/>
              </w:rPr>
              <w:t>SoC HH</w:t>
            </w:r>
          </w:p>
        </w:tc>
        <w:tc>
          <w:tcPr>
            <w:tcW w:w="957" w:type="dxa"/>
            <w:shd w:val="clear" w:color="auto" w:fill="auto"/>
            <w:vAlign w:val="center"/>
          </w:tcPr>
          <w:p w14:paraId="0EA343F4" w14:textId="77777777" w:rsidR="00E12222" w:rsidRPr="00D35C32" w:rsidRDefault="00E12222" w:rsidP="0087212A">
            <w:pPr>
              <w:jc w:val="center"/>
              <w:rPr>
                <w:rFonts w:ascii="Times New Roman" w:hAnsi="Times New Roman"/>
                <w:i/>
              </w:rPr>
            </w:pPr>
            <w:r w:rsidRPr="00D35C32">
              <w:rPr>
                <w:rFonts w:ascii="Times New Roman" w:hAnsi="Times New Roman"/>
                <w:i/>
              </w:rPr>
              <w:t>0</w:t>
            </w:r>
          </w:p>
        </w:tc>
        <w:tc>
          <w:tcPr>
            <w:tcW w:w="957" w:type="dxa"/>
            <w:shd w:val="clear" w:color="auto" w:fill="auto"/>
            <w:vAlign w:val="center"/>
          </w:tcPr>
          <w:p w14:paraId="287290A1" w14:textId="77777777" w:rsidR="00E12222" w:rsidRPr="00D35C32" w:rsidRDefault="00E12222" w:rsidP="0087212A">
            <w:pPr>
              <w:jc w:val="center"/>
              <w:rPr>
                <w:rFonts w:ascii="Times New Roman" w:hAnsi="Times New Roman"/>
                <w:i/>
              </w:rPr>
            </w:pPr>
            <w:r w:rsidRPr="00D35C32">
              <w:rPr>
                <w:rFonts w:ascii="Times New Roman" w:hAnsi="Times New Roman"/>
                <w:i/>
              </w:rPr>
              <w:t>2.5</w:t>
            </w:r>
          </w:p>
        </w:tc>
        <w:tc>
          <w:tcPr>
            <w:tcW w:w="967" w:type="dxa"/>
            <w:shd w:val="clear" w:color="auto" w:fill="FFC000"/>
            <w:vAlign w:val="center"/>
          </w:tcPr>
          <w:p w14:paraId="4E2331AD" w14:textId="77777777" w:rsidR="00E12222" w:rsidRPr="00D35C32" w:rsidRDefault="00E12222" w:rsidP="0087212A">
            <w:pPr>
              <w:jc w:val="center"/>
              <w:rPr>
                <w:rFonts w:ascii="Times New Roman" w:hAnsi="Times New Roman"/>
              </w:rPr>
            </w:pPr>
            <w:r w:rsidRPr="00D35C32">
              <w:rPr>
                <w:rFonts w:ascii="Times New Roman" w:hAnsi="Times New Roman"/>
              </w:rPr>
              <w:t>0</w:t>
            </w:r>
          </w:p>
        </w:tc>
        <w:tc>
          <w:tcPr>
            <w:tcW w:w="981" w:type="dxa"/>
            <w:shd w:val="clear" w:color="auto" w:fill="FFC000"/>
            <w:vAlign w:val="center"/>
          </w:tcPr>
          <w:p w14:paraId="373594BD" w14:textId="77777777" w:rsidR="00E12222" w:rsidRPr="00D35C32" w:rsidRDefault="00E12222" w:rsidP="0087212A">
            <w:pPr>
              <w:jc w:val="center"/>
              <w:rPr>
                <w:rFonts w:ascii="Times New Roman" w:hAnsi="Times New Roman"/>
              </w:rPr>
            </w:pPr>
            <w:r w:rsidRPr="00D35C32">
              <w:rPr>
                <w:rFonts w:ascii="Times New Roman" w:hAnsi="Times New Roman"/>
              </w:rPr>
              <w:t>0</w:t>
            </w:r>
          </w:p>
        </w:tc>
        <w:tc>
          <w:tcPr>
            <w:tcW w:w="958" w:type="dxa"/>
            <w:shd w:val="clear" w:color="auto" w:fill="FF0000"/>
            <w:vAlign w:val="center"/>
          </w:tcPr>
          <w:p w14:paraId="1D97D6CD" w14:textId="77777777" w:rsidR="00E12222" w:rsidRPr="00571546" w:rsidRDefault="00E12222" w:rsidP="0087212A">
            <w:pPr>
              <w:jc w:val="center"/>
              <w:rPr>
                <w:sz w:val="16"/>
              </w:rPr>
            </w:pPr>
            <w:r w:rsidRPr="00571546">
              <w:rPr>
                <w:sz w:val="16"/>
              </w:rPr>
              <w:t>2.5</w:t>
            </w:r>
          </w:p>
        </w:tc>
        <w:tc>
          <w:tcPr>
            <w:tcW w:w="976" w:type="dxa"/>
            <w:shd w:val="clear" w:color="auto" w:fill="FF0000"/>
            <w:vAlign w:val="center"/>
          </w:tcPr>
          <w:p w14:paraId="65183C87" w14:textId="77777777" w:rsidR="00E12222" w:rsidRPr="00571546" w:rsidRDefault="00E12222" w:rsidP="0087212A">
            <w:pPr>
              <w:jc w:val="center"/>
              <w:rPr>
                <w:sz w:val="16"/>
              </w:rPr>
            </w:pPr>
            <w:r w:rsidRPr="00571546">
              <w:rPr>
                <w:sz w:val="16"/>
              </w:rPr>
              <w:t>2.5</w:t>
            </w:r>
          </w:p>
        </w:tc>
      </w:tr>
      <w:tr w:rsidR="00E12222" w:rsidRPr="00571546" w14:paraId="4A307160" w14:textId="77777777" w:rsidTr="001E14DE">
        <w:trPr>
          <w:trHeight w:val="54"/>
        </w:trPr>
        <w:tc>
          <w:tcPr>
            <w:tcW w:w="3038" w:type="dxa"/>
            <w:gridSpan w:val="2"/>
            <w:vMerge w:val="restart"/>
            <w:vAlign w:val="center"/>
          </w:tcPr>
          <w:p w14:paraId="6C49788D" w14:textId="77777777" w:rsidR="00E12222" w:rsidRPr="00D35C32" w:rsidRDefault="00E12222" w:rsidP="0087212A">
            <w:pPr>
              <w:jc w:val="center"/>
              <w:rPr>
                <w:rFonts w:ascii="Times New Roman" w:hAnsi="Times New Roman"/>
                <w:b/>
              </w:rPr>
            </w:pPr>
            <w:r w:rsidRPr="00D35C32">
              <w:rPr>
                <w:rFonts w:ascii="Times New Roman" w:hAnsi="Times New Roman"/>
                <w:b/>
              </w:rPr>
              <w:t>Uses</w:t>
            </w:r>
          </w:p>
        </w:tc>
        <w:tc>
          <w:tcPr>
            <w:tcW w:w="1914" w:type="dxa"/>
            <w:gridSpan w:val="2"/>
            <w:vMerge w:val="restart"/>
            <w:shd w:val="clear" w:color="auto" w:fill="auto"/>
            <w:vAlign w:val="center"/>
          </w:tcPr>
          <w:p w14:paraId="59A297B5" w14:textId="77777777" w:rsidR="00E12222" w:rsidRPr="00D35C32" w:rsidRDefault="00E12222" w:rsidP="0087212A">
            <w:pPr>
              <w:jc w:val="center"/>
              <w:rPr>
                <w:rFonts w:ascii="Times New Roman" w:hAnsi="Times New Roman"/>
                <w:i/>
              </w:rPr>
            </w:pPr>
            <w:r w:rsidRPr="00D35C32">
              <w:rPr>
                <w:rFonts w:ascii="Times New Roman" w:hAnsi="Times New Roman"/>
                <w:i/>
              </w:rPr>
              <w:t>-</w:t>
            </w:r>
          </w:p>
        </w:tc>
        <w:tc>
          <w:tcPr>
            <w:tcW w:w="1948" w:type="dxa"/>
            <w:gridSpan w:val="2"/>
            <w:shd w:val="clear" w:color="auto" w:fill="FFC000"/>
            <w:vAlign w:val="center"/>
          </w:tcPr>
          <w:p w14:paraId="4DA2D68A" w14:textId="77777777" w:rsidR="00E12222" w:rsidRPr="00D35C32" w:rsidRDefault="00E12222" w:rsidP="0087212A">
            <w:pPr>
              <w:jc w:val="center"/>
              <w:rPr>
                <w:rFonts w:ascii="Times New Roman" w:hAnsi="Times New Roman"/>
              </w:rPr>
            </w:pPr>
            <w:r w:rsidRPr="00D35C32">
              <w:rPr>
                <w:rFonts w:ascii="Times New Roman" w:hAnsi="Times New Roman"/>
              </w:rPr>
              <w:t>1: Against Target org. 1</w:t>
            </w:r>
          </w:p>
        </w:tc>
        <w:tc>
          <w:tcPr>
            <w:tcW w:w="1934" w:type="dxa"/>
            <w:gridSpan w:val="2"/>
            <w:shd w:val="clear" w:color="auto" w:fill="FF0000"/>
            <w:vAlign w:val="center"/>
          </w:tcPr>
          <w:p w14:paraId="7B0D5986" w14:textId="77777777" w:rsidR="00E12222" w:rsidRPr="00571546" w:rsidRDefault="00E12222" w:rsidP="0087212A">
            <w:pPr>
              <w:jc w:val="center"/>
              <w:rPr>
                <w:sz w:val="16"/>
              </w:rPr>
            </w:pPr>
            <w:r w:rsidRPr="00571546">
              <w:rPr>
                <w:sz w:val="16"/>
              </w:rPr>
              <w:t>-</w:t>
            </w:r>
          </w:p>
        </w:tc>
      </w:tr>
      <w:tr w:rsidR="00E12222" w:rsidRPr="00571546" w14:paraId="421EED3F" w14:textId="77777777" w:rsidTr="001E14DE">
        <w:tc>
          <w:tcPr>
            <w:tcW w:w="3038" w:type="dxa"/>
            <w:gridSpan w:val="2"/>
            <w:vMerge/>
            <w:vAlign w:val="center"/>
          </w:tcPr>
          <w:p w14:paraId="3F7A47EB" w14:textId="77777777" w:rsidR="00E12222" w:rsidRPr="00D35C32" w:rsidRDefault="00E12222" w:rsidP="0087212A">
            <w:pPr>
              <w:jc w:val="center"/>
              <w:rPr>
                <w:rFonts w:ascii="Times New Roman" w:hAnsi="Times New Roman"/>
                <w:b/>
              </w:rPr>
            </w:pPr>
          </w:p>
        </w:tc>
        <w:tc>
          <w:tcPr>
            <w:tcW w:w="1914" w:type="dxa"/>
            <w:gridSpan w:val="2"/>
            <w:vMerge/>
            <w:shd w:val="clear" w:color="auto" w:fill="auto"/>
          </w:tcPr>
          <w:p w14:paraId="5125C641" w14:textId="77777777" w:rsidR="00E12222" w:rsidRPr="00D35C32" w:rsidRDefault="00E12222" w:rsidP="0087212A">
            <w:pPr>
              <w:jc w:val="center"/>
              <w:rPr>
                <w:rFonts w:ascii="Times New Roman" w:hAnsi="Times New Roman"/>
              </w:rPr>
            </w:pPr>
          </w:p>
        </w:tc>
        <w:tc>
          <w:tcPr>
            <w:tcW w:w="1948" w:type="dxa"/>
            <w:gridSpan w:val="2"/>
            <w:shd w:val="clear" w:color="auto" w:fill="FFC000"/>
            <w:vAlign w:val="center"/>
          </w:tcPr>
          <w:p w14:paraId="31339B2F" w14:textId="77777777" w:rsidR="00E12222" w:rsidRPr="00D35C32" w:rsidRDefault="00E12222" w:rsidP="0087212A">
            <w:pPr>
              <w:jc w:val="center"/>
              <w:rPr>
                <w:rFonts w:ascii="Times New Roman" w:hAnsi="Times New Roman"/>
              </w:rPr>
            </w:pPr>
            <w:r w:rsidRPr="00D35C32">
              <w:rPr>
                <w:rFonts w:ascii="Times New Roman" w:hAnsi="Times New Roman"/>
              </w:rPr>
              <w:t>-</w:t>
            </w:r>
          </w:p>
        </w:tc>
        <w:tc>
          <w:tcPr>
            <w:tcW w:w="1934" w:type="dxa"/>
            <w:gridSpan w:val="2"/>
            <w:shd w:val="clear" w:color="auto" w:fill="FF0000"/>
            <w:vAlign w:val="center"/>
          </w:tcPr>
          <w:p w14:paraId="23D51F4F" w14:textId="77777777" w:rsidR="00E12222" w:rsidRPr="00571546" w:rsidRDefault="00E12222" w:rsidP="0087212A">
            <w:pPr>
              <w:jc w:val="center"/>
              <w:rPr>
                <w:sz w:val="16"/>
              </w:rPr>
            </w:pPr>
            <w:r w:rsidRPr="00571546">
              <w:rPr>
                <w:sz w:val="16"/>
              </w:rPr>
              <w:t>2: Against target org. 1 but under more demanding conditions</w:t>
            </w:r>
          </w:p>
        </w:tc>
      </w:tr>
    </w:tbl>
    <w:p w14:paraId="378051AB" w14:textId="7B8831F9" w:rsidR="00E12222" w:rsidRPr="00E12222" w:rsidRDefault="00E12222" w:rsidP="00432121">
      <w:pPr>
        <w:widowControl w:val="0"/>
        <w:spacing w:before="120" w:after="120"/>
        <w:rPr>
          <w:b/>
          <w:snapToGrid w:val="0"/>
          <w:szCs w:val="24"/>
          <w:lang w:eastAsia="fi-FI"/>
        </w:rPr>
      </w:pPr>
      <w:r w:rsidRPr="00E12222">
        <w:rPr>
          <w:b/>
          <w:snapToGrid w:val="0"/>
          <w:szCs w:val="24"/>
          <w:lang w:eastAsia="fi-FI"/>
        </w:rPr>
        <w:t xml:space="preserve">Table </w:t>
      </w:r>
      <w:r w:rsidR="00D000DB">
        <w:rPr>
          <w:b/>
          <w:snapToGrid w:val="0"/>
          <w:szCs w:val="24"/>
          <w:lang w:eastAsia="fi-FI"/>
        </w:rPr>
        <w:t>9</w:t>
      </w:r>
      <w:r w:rsidRPr="00E12222">
        <w:rPr>
          <w:b/>
          <w:snapToGrid w:val="0"/>
          <w:szCs w:val="24"/>
          <w:lang w:eastAsia="fi-FI"/>
        </w:rPr>
        <w:t>:</w:t>
      </w:r>
      <w:r w:rsidR="0097323E" w:rsidRPr="0097323E">
        <w:rPr>
          <w:snapToGrid w:val="0"/>
          <w:szCs w:val="24"/>
          <w:lang w:eastAsia="fi-FI"/>
        </w:rPr>
        <w:t xml:space="preserve"> </w:t>
      </w:r>
      <w:r w:rsidR="0097323E" w:rsidRPr="004D448C">
        <w:rPr>
          <w:snapToGrid w:val="0"/>
          <w:szCs w:val="24"/>
          <w:lang w:eastAsia="fi-FI"/>
        </w:rPr>
        <w:t>example of a</w:t>
      </w:r>
      <w:r w:rsidR="0097323E">
        <w:rPr>
          <w:snapToGrid w:val="0"/>
          <w:szCs w:val="24"/>
          <w:lang w:eastAsia="fi-FI"/>
        </w:rPr>
        <w:t xml:space="preserve">n extension of the core </w:t>
      </w:r>
      <w:r w:rsidR="00B34B5F">
        <w:rPr>
          <w:snapToGrid w:val="0"/>
          <w:szCs w:val="24"/>
          <w:lang w:eastAsia="fi-FI"/>
        </w:rPr>
        <w:t>because of the introduction of a SoC</w:t>
      </w:r>
    </w:p>
    <w:p w14:paraId="50C9E769" w14:textId="77777777" w:rsidR="00D000DB" w:rsidRDefault="00D90C5A" w:rsidP="00D90C5A">
      <w:r w:rsidRPr="00FF0873">
        <w:t xml:space="preserve">This extension requires three refinements to the original core assessment (using the outdoor use scenario, resulting in evaluation of a dataset/reasoned case for the targets outdoors plus an extension to the human health and environmental risk assessment). </w:t>
      </w:r>
    </w:p>
    <w:p w14:paraId="6CBF7C43" w14:textId="0BA84252" w:rsidR="00D90C5A" w:rsidRDefault="00D90C5A" w:rsidP="00D90C5A">
      <w:r w:rsidRPr="00FF0873">
        <w:t>For this example it is assumed that other areas (phys chem/hazard) are covered already by the</w:t>
      </w:r>
      <w:r w:rsidRPr="00845A73">
        <w:t xml:space="preserve"> original assessment of the core. As such, a full re-assessment of all parameters of the core is not required for this additional outdoor use and it therefore meets the criteria for similar risk and efficacy (as specified in section </w:t>
      </w:r>
      <w:r w:rsidR="00461850">
        <w:t>8</w:t>
      </w:r>
      <w:r w:rsidR="00746A7F">
        <w:t xml:space="preserve"> of point 3.2</w:t>
      </w:r>
      <w:r w:rsidR="007008DC">
        <w:t>.4</w:t>
      </w:r>
      <w:r w:rsidRPr="00845A73">
        <w:t xml:space="preserve">). Three refinements to the core composition are the maximum allowed in order to define similar levels of risk and efficacy (see section </w:t>
      </w:r>
      <w:r w:rsidR="00461850">
        <w:t>10 of point 3.2.4</w:t>
      </w:r>
      <w:r w:rsidRPr="00845A73">
        <w:t>).</w:t>
      </w:r>
    </w:p>
    <w:p w14:paraId="090EFD5F" w14:textId="5104F47E" w:rsidR="00D90C5A" w:rsidRPr="00845A73" w:rsidRDefault="00D90C5A" w:rsidP="00D90C5A">
      <w:r w:rsidRPr="00845A73">
        <w:t xml:space="preserve">However, when this extension refinement example is applied in combination with the efficacy subset addition from </w:t>
      </w:r>
      <w:r w:rsidR="007008DC">
        <w:t>section 5 of point 3.</w:t>
      </w:r>
      <w:r w:rsidR="00746A7F">
        <w:t>2</w:t>
      </w:r>
      <w:r w:rsidR="007008DC">
        <w:t xml:space="preserve">.4 </w:t>
      </w:r>
      <w:r w:rsidRPr="00845A73">
        <w:t xml:space="preserve">, the number of refinements to the original core composition now totals 4 (1 for the subset plus 3 for the extension), which is outside the maximum that can be applied in accordance with section </w:t>
      </w:r>
      <w:r w:rsidR="00461850">
        <w:t>10 of point 3.2.4</w:t>
      </w:r>
      <w:r w:rsidRPr="00845A73">
        <w:t>. In such a case it needs to be decided which refinements to the core assessment should be managed as part of a separate family application.</w:t>
      </w:r>
    </w:p>
    <w:p w14:paraId="1F1ACFB3" w14:textId="77777777" w:rsidR="000E1E12" w:rsidRDefault="000E1E12" w:rsidP="00432121">
      <w:pPr>
        <w:widowControl w:val="0"/>
        <w:spacing w:before="120" w:after="120"/>
        <w:rPr>
          <w:snapToGrid w:val="0"/>
          <w:szCs w:val="24"/>
          <w:lang w:eastAsia="fi-FI"/>
        </w:rPr>
        <w:sectPr w:rsidR="000E1E12" w:rsidSect="00385DDA">
          <w:pgSz w:w="11906" w:h="16838"/>
          <w:pgMar w:top="1020" w:right="1701" w:bottom="1020" w:left="1587" w:header="601" w:footer="1077" w:gutter="0"/>
          <w:cols w:space="720"/>
          <w:titlePg/>
          <w:docGrid w:linePitch="326"/>
        </w:sectPr>
      </w:pPr>
    </w:p>
    <w:p w14:paraId="629EC39E" w14:textId="77777777" w:rsidR="00863843" w:rsidRDefault="00863843" w:rsidP="00863843">
      <w:pPr>
        <w:pStyle w:val="HistTableHeading"/>
        <w:rPr>
          <w:snapToGrid w:val="0"/>
          <w:lang w:eastAsia="fi-FI"/>
        </w:rPr>
      </w:pPr>
      <w:r>
        <w:rPr>
          <w:snapToGrid w:val="0"/>
          <w:lang w:eastAsia="fi-FI"/>
        </w:rPr>
        <w:lastRenderedPageBreak/>
        <w:t>Annex VII</w:t>
      </w:r>
    </w:p>
    <w:p w14:paraId="7FC36A13" w14:textId="77777777" w:rsidR="00863843" w:rsidRDefault="00863843" w:rsidP="00863843">
      <w:pPr>
        <w:pStyle w:val="HistTableHeading"/>
        <w:rPr>
          <w:lang w:eastAsia="fi-FI"/>
        </w:rPr>
      </w:pPr>
      <w:r>
        <w:rPr>
          <w:lang w:eastAsia="fi-FI"/>
        </w:rPr>
        <w:t xml:space="preserve">Overview of the </w:t>
      </w:r>
      <w:r w:rsidR="00D900BF">
        <w:rPr>
          <w:lang w:eastAsia="fi-FI"/>
        </w:rPr>
        <w:t>approach to group biocidal products in a biocidal product family</w:t>
      </w:r>
    </w:p>
    <w:p w14:paraId="06C94767" w14:textId="77777777" w:rsidR="005A7FE6" w:rsidRPr="005A7FE6" w:rsidRDefault="005A7FE6" w:rsidP="005A7FE6">
      <w:pPr>
        <w:pStyle w:val="HistoryTable"/>
        <w:rPr>
          <w:lang w:eastAsia="fi-FI"/>
        </w:rPr>
      </w:pPr>
    </w:p>
    <w:p w14:paraId="72C4EE7E" w14:textId="37B2E14A" w:rsidR="00863843" w:rsidRDefault="0047782A" w:rsidP="00863843">
      <w:pPr>
        <w:rPr>
          <w:snapToGrid w:val="0"/>
          <w:lang w:eastAsia="fi-FI"/>
        </w:rPr>
      </w:pPr>
      <w:r>
        <w:rPr>
          <w:noProof/>
          <w:lang w:val="fr-BE" w:eastAsia="fr-BE"/>
        </w:rPr>
        <w:drawing>
          <wp:inline distT="0" distB="0" distL="0" distR="0" wp14:anchorId="6479ACAC" wp14:editId="2B64CA92">
            <wp:extent cx="5472430" cy="39858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472430" cy="3985895"/>
                    </a:xfrm>
                    <a:prstGeom prst="rect">
                      <a:avLst/>
                    </a:prstGeom>
                  </pic:spPr>
                </pic:pic>
              </a:graphicData>
            </a:graphic>
          </wp:inline>
        </w:drawing>
      </w:r>
    </w:p>
    <w:p w14:paraId="07FE3AD5" w14:textId="77777777" w:rsidR="005A7FE6" w:rsidRDefault="005A7FE6" w:rsidP="00863843">
      <w:pPr>
        <w:rPr>
          <w:snapToGrid w:val="0"/>
          <w:lang w:eastAsia="fi-FI"/>
        </w:rPr>
      </w:pPr>
    </w:p>
    <w:p w14:paraId="3F23B5F3" w14:textId="77777777" w:rsidR="00863843" w:rsidRPr="00863843" w:rsidRDefault="00863843" w:rsidP="00863843">
      <w:pPr>
        <w:pStyle w:val="HistoryTable"/>
        <w:rPr>
          <w:lang w:eastAsia="fi-FI"/>
        </w:rPr>
        <w:sectPr w:rsidR="00863843" w:rsidRPr="00863843" w:rsidSect="00385DDA">
          <w:pgSz w:w="11906" w:h="16838"/>
          <w:pgMar w:top="1020" w:right="1701" w:bottom="1020" w:left="1587" w:header="601" w:footer="1077" w:gutter="0"/>
          <w:cols w:space="720"/>
          <w:titlePg/>
          <w:docGrid w:linePitch="326"/>
        </w:sectPr>
      </w:pPr>
    </w:p>
    <w:p w14:paraId="58080A6F" w14:textId="77777777" w:rsidR="000E1E12" w:rsidRDefault="000E1E12" w:rsidP="000E1E12">
      <w:pPr>
        <w:pStyle w:val="HistTableHeading"/>
        <w:rPr>
          <w:snapToGrid w:val="0"/>
          <w:lang w:eastAsia="fi-FI"/>
        </w:rPr>
      </w:pPr>
      <w:r>
        <w:rPr>
          <w:snapToGrid w:val="0"/>
          <w:lang w:eastAsia="fi-FI"/>
        </w:rPr>
        <w:lastRenderedPageBreak/>
        <w:t>Annex VI</w:t>
      </w:r>
      <w:r w:rsidR="00863843">
        <w:rPr>
          <w:snapToGrid w:val="0"/>
          <w:lang w:eastAsia="fi-FI"/>
        </w:rPr>
        <w:t>I</w:t>
      </w:r>
      <w:r>
        <w:rPr>
          <w:snapToGrid w:val="0"/>
          <w:lang w:eastAsia="fi-FI"/>
        </w:rPr>
        <w:t>I</w:t>
      </w:r>
    </w:p>
    <w:p w14:paraId="47853863" w14:textId="77777777" w:rsidR="000E1E12" w:rsidRPr="000E1E12" w:rsidRDefault="001E14DE" w:rsidP="000E1E12">
      <w:pPr>
        <w:pStyle w:val="HistTableHeading"/>
        <w:rPr>
          <w:lang w:eastAsia="fi-FI"/>
        </w:rPr>
      </w:pPr>
      <w:r>
        <w:rPr>
          <w:lang w:eastAsia="fi-FI"/>
        </w:rPr>
        <w:t>Q</w:t>
      </w:r>
      <w:r w:rsidR="000E1E12">
        <w:rPr>
          <w:lang w:eastAsia="fi-FI"/>
        </w:rPr>
        <w:t>&amp;A on the implementation of the BPF concept</w:t>
      </w:r>
    </w:p>
    <w:p w14:paraId="05E2C392" w14:textId="77777777" w:rsidR="009D0712" w:rsidRPr="00E838D4" w:rsidRDefault="009D0712" w:rsidP="009D0712">
      <w:pPr>
        <w:ind w:left="709" w:hanging="709"/>
        <w:rPr>
          <w:b/>
          <w:i/>
          <w:lang w:eastAsia="en-US"/>
        </w:rPr>
      </w:pPr>
      <w:r w:rsidRPr="00E838D4">
        <w:rPr>
          <w:b/>
          <w:i/>
          <w:lang w:eastAsia="en-US"/>
        </w:rPr>
        <w:t xml:space="preserve">Meta-SPC concept: </w:t>
      </w:r>
    </w:p>
    <w:p w14:paraId="67757747" w14:textId="77777777" w:rsidR="009D0712" w:rsidRPr="00E838D4" w:rsidRDefault="009D0712" w:rsidP="009D0712">
      <w:pPr>
        <w:pStyle w:val="ListNumber"/>
        <w:numPr>
          <w:ilvl w:val="0"/>
          <w:numId w:val="44"/>
        </w:numPr>
        <w:rPr>
          <w:lang w:eastAsia="en-US"/>
        </w:rPr>
      </w:pPr>
      <w:r w:rsidRPr="009D0712">
        <w:rPr>
          <w:b/>
          <w:lang w:eastAsia="en-US"/>
        </w:rPr>
        <w:t>Q:</w:t>
      </w:r>
      <w:r w:rsidRPr="00E838D4">
        <w:rPr>
          <w:lang w:eastAsia="en-US"/>
        </w:rPr>
        <w:t xml:space="preserve"> Should the meta-SPC level specify the manufacturers which are relevant for the different individual products </w:t>
      </w:r>
      <w:r>
        <w:rPr>
          <w:lang w:eastAsia="en-US"/>
        </w:rPr>
        <w:t>covered by</w:t>
      </w:r>
      <w:r w:rsidRPr="00E838D4">
        <w:rPr>
          <w:lang w:eastAsia="en-US"/>
        </w:rPr>
        <w:t xml:space="preserve"> that meta-SPC?</w:t>
      </w:r>
    </w:p>
    <w:p w14:paraId="206DC453" w14:textId="77777777" w:rsidR="009D0712" w:rsidRPr="00E838D4" w:rsidRDefault="009D0712" w:rsidP="009D0712">
      <w:pPr>
        <w:pStyle w:val="ListNumber"/>
        <w:numPr>
          <w:ilvl w:val="0"/>
          <w:numId w:val="0"/>
        </w:numPr>
        <w:ind w:left="992"/>
        <w:rPr>
          <w:lang w:eastAsia="en-US"/>
        </w:rPr>
      </w:pPr>
      <w:r w:rsidRPr="00E838D4">
        <w:rPr>
          <w:b/>
          <w:lang w:eastAsia="en-US"/>
        </w:rPr>
        <w:t>A</w:t>
      </w:r>
      <w:r w:rsidRPr="00E838D4">
        <w:rPr>
          <w:lang w:eastAsia="en-US"/>
        </w:rPr>
        <w:t xml:space="preserve">: All the manufacturers of the individual products belonging to the BPF have to be listed in the first information level, so there is no need to repeat this information at meta-SPC level. </w:t>
      </w:r>
    </w:p>
    <w:p w14:paraId="2E115C5A" w14:textId="77777777" w:rsidR="009D0712" w:rsidRPr="00E838D4" w:rsidRDefault="009D0712" w:rsidP="009D0712">
      <w:pPr>
        <w:pStyle w:val="ListNumber"/>
        <w:numPr>
          <w:ilvl w:val="0"/>
          <w:numId w:val="0"/>
        </w:numPr>
        <w:ind w:left="992"/>
        <w:rPr>
          <w:lang w:eastAsia="en-US"/>
        </w:rPr>
      </w:pPr>
      <w:r w:rsidRPr="00E838D4">
        <w:rPr>
          <w:lang w:eastAsia="en-US"/>
        </w:rPr>
        <w:t xml:space="preserve">Once the BPF has been authorised and generated for dissemination purposes, only the relevant manufacturer(s) for that specific product </w:t>
      </w:r>
      <w:r>
        <w:rPr>
          <w:lang w:eastAsia="en-US"/>
        </w:rPr>
        <w:t xml:space="preserve">will </w:t>
      </w:r>
      <w:r w:rsidRPr="00E838D4">
        <w:rPr>
          <w:lang w:eastAsia="en-US"/>
        </w:rPr>
        <w:t xml:space="preserve">be </w:t>
      </w:r>
      <w:r>
        <w:rPr>
          <w:lang w:eastAsia="en-US"/>
        </w:rPr>
        <w:t>labelled on the package of the individual products</w:t>
      </w:r>
      <w:r w:rsidRPr="00E838D4">
        <w:rPr>
          <w:lang w:eastAsia="en-US"/>
        </w:rPr>
        <w:t>.</w:t>
      </w:r>
    </w:p>
    <w:p w14:paraId="6B10A503" w14:textId="77777777" w:rsidR="009D0712" w:rsidRPr="00E838D4" w:rsidRDefault="009D0712" w:rsidP="009D0712">
      <w:pPr>
        <w:pStyle w:val="ListNumber"/>
        <w:rPr>
          <w:lang w:eastAsia="en-US"/>
        </w:rPr>
      </w:pPr>
      <w:r w:rsidRPr="009D0712">
        <w:rPr>
          <w:b/>
          <w:lang w:eastAsia="en-US"/>
        </w:rPr>
        <w:t>Q:</w:t>
      </w:r>
      <w:r w:rsidRPr="00E838D4">
        <w:rPr>
          <w:lang w:eastAsia="en-US"/>
        </w:rPr>
        <w:t xml:space="preserve"> How to deal with the concentration range of the ingredients in case of a meta-SPC that only contains one product at the authorisation stage?</w:t>
      </w:r>
    </w:p>
    <w:p w14:paraId="78974665" w14:textId="77777777" w:rsidR="009D0712" w:rsidRPr="00E838D4" w:rsidRDefault="009D0712" w:rsidP="009D0712">
      <w:pPr>
        <w:pStyle w:val="ListNumber"/>
        <w:numPr>
          <w:ilvl w:val="0"/>
          <w:numId w:val="0"/>
        </w:numPr>
        <w:ind w:left="992"/>
        <w:rPr>
          <w:lang w:eastAsia="en-US"/>
        </w:rPr>
      </w:pPr>
      <w:r w:rsidRPr="00E838D4">
        <w:rPr>
          <w:b/>
          <w:lang w:eastAsia="en-US"/>
        </w:rPr>
        <w:t xml:space="preserve">A: </w:t>
      </w:r>
      <w:r w:rsidRPr="00E838D4">
        <w:rPr>
          <w:lang w:eastAsia="en-US"/>
        </w:rPr>
        <w:t xml:space="preserve">For this kind of cases, the applicant should propose a “hypothetical” range of product composition in that meta-SPC in which the only currently available product fits and that allows similar products with different specific composition to be notified in the future. </w:t>
      </w:r>
    </w:p>
    <w:p w14:paraId="5E747684" w14:textId="77777777" w:rsidR="009D0712" w:rsidRPr="00E838D4" w:rsidRDefault="009D0712" w:rsidP="009D0712">
      <w:pPr>
        <w:pStyle w:val="ListNumber"/>
        <w:numPr>
          <w:ilvl w:val="0"/>
          <w:numId w:val="0"/>
        </w:numPr>
        <w:ind w:left="992"/>
        <w:rPr>
          <w:lang w:eastAsia="en-US"/>
        </w:rPr>
      </w:pPr>
      <w:r w:rsidRPr="00E838D4">
        <w:rPr>
          <w:lang w:eastAsia="en-US"/>
        </w:rPr>
        <w:t>Where an applicant does not intend to notify additional products in the future into that meta-SPC, the exact composition or a “range” with identical minimum and maximum limits (e.g. 3% - 3%) should be given in the meta-SPC.</w:t>
      </w:r>
    </w:p>
    <w:p w14:paraId="34F3A076" w14:textId="77777777" w:rsidR="009D0712" w:rsidRPr="00E838D4" w:rsidRDefault="009D0712" w:rsidP="009D0712">
      <w:pPr>
        <w:pStyle w:val="ListNumber"/>
        <w:rPr>
          <w:lang w:eastAsia="en-US"/>
        </w:rPr>
      </w:pPr>
      <w:r w:rsidRPr="009D0712">
        <w:rPr>
          <w:b/>
          <w:lang w:eastAsia="en-US"/>
        </w:rPr>
        <w:t>Q:</w:t>
      </w:r>
      <w:r w:rsidRPr="00E838D4">
        <w:rPr>
          <w:lang w:eastAsia="en-US"/>
        </w:rPr>
        <w:t xml:space="preserve"> Can a BPF authorisation have one or more meta-SPCs without any individual product at the third information level?</w:t>
      </w:r>
    </w:p>
    <w:p w14:paraId="015FA809" w14:textId="77777777" w:rsidR="009D0712" w:rsidRPr="00E838D4" w:rsidRDefault="009D0712" w:rsidP="009D0712">
      <w:pPr>
        <w:pStyle w:val="ListNumber"/>
        <w:numPr>
          <w:ilvl w:val="0"/>
          <w:numId w:val="0"/>
        </w:numPr>
        <w:ind w:left="992"/>
        <w:rPr>
          <w:lang w:eastAsia="en-US"/>
        </w:rPr>
      </w:pPr>
      <w:r w:rsidRPr="00E838D4">
        <w:rPr>
          <w:b/>
          <w:lang w:eastAsia="en-US"/>
        </w:rPr>
        <w:t xml:space="preserve">A: </w:t>
      </w:r>
      <w:r w:rsidRPr="00E838D4">
        <w:rPr>
          <w:lang w:eastAsia="en-US"/>
        </w:rPr>
        <w:t>No.</w:t>
      </w:r>
      <w:r w:rsidRPr="00E838D4">
        <w:rPr>
          <w:b/>
          <w:lang w:eastAsia="en-US"/>
        </w:rPr>
        <w:t xml:space="preserve"> </w:t>
      </w:r>
      <w:r w:rsidRPr="00E838D4">
        <w:rPr>
          <w:lang w:eastAsia="en-US"/>
        </w:rPr>
        <w:t xml:space="preserve">The meta-SPC concept represents a way of grouping a number of related individual products within a family at the authorisation stage, which also enables a simple post-authorisation notification process in accordance with Article 17(6) of the BPR. Therefore, at the authorisation stage any meta-SPC should at least contain one individual product. Where a new individual product to be notified does not fit into an existing meta-SPC, the </w:t>
      </w:r>
      <w:r>
        <w:rPr>
          <w:lang w:eastAsia="en-US"/>
        </w:rPr>
        <w:t xml:space="preserve">authorisation holder </w:t>
      </w:r>
      <w:r w:rsidRPr="00E838D4">
        <w:rPr>
          <w:lang w:eastAsia="en-US"/>
        </w:rPr>
        <w:t xml:space="preserve">should apply for a change to the BPF authorisation to create a new meta-SPC. </w:t>
      </w:r>
    </w:p>
    <w:p w14:paraId="4DBE1A97" w14:textId="77777777" w:rsidR="009D0712" w:rsidRPr="00E838D4" w:rsidRDefault="009D0712" w:rsidP="009D0712">
      <w:pPr>
        <w:pStyle w:val="ListNumber"/>
        <w:rPr>
          <w:lang w:eastAsia="en-US"/>
        </w:rPr>
      </w:pPr>
      <w:r w:rsidRPr="00E838D4">
        <w:rPr>
          <w:b/>
          <w:lang w:eastAsia="en-US"/>
        </w:rPr>
        <w:t>Q:</w:t>
      </w:r>
      <w:r w:rsidRPr="00E838D4">
        <w:rPr>
          <w:lang w:eastAsia="en-US"/>
        </w:rPr>
        <w:t xml:space="preserve"> Can an individual product of a BPF (e.g. insecticide placed on the market as a ready-to-use non-refillable dual bait station) containing the same AS also contain two mixtures falling under two different meta-SPCs due to a different classification?</w:t>
      </w:r>
    </w:p>
    <w:p w14:paraId="110EEAFA" w14:textId="77777777" w:rsidR="009D0712" w:rsidRPr="00E838D4" w:rsidRDefault="009D0712" w:rsidP="009D0712">
      <w:pPr>
        <w:pStyle w:val="ListNumber"/>
        <w:numPr>
          <w:ilvl w:val="0"/>
          <w:numId w:val="0"/>
        </w:numPr>
        <w:ind w:left="992"/>
        <w:rPr>
          <w:lang w:eastAsia="en-US"/>
        </w:rPr>
      </w:pPr>
      <w:r w:rsidRPr="00E838D4">
        <w:rPr>
          <w:b/>
          <w:lang w:eastAsia="en-US"/>
        </w:rPr>
        <w:t xml:space="preserve">A: </w:t>
      </w:r>
      <w:r w:rsidRPr="00E838D4">
        <w:rPr>
          <w:lang w:eastAsia="en-US"/>
        </w:rPr>
        <w:t>No.</w:t>
      </w:r>
      <w:r w:rsidRPr="00E838D4">
        <w:rPr>
          <w:b/>
          <w:lang w:eastAsia="en-US"/>
        </w:rPr>
        <w:t xml:space="preserve"> </w:t>
      </w:r>
      <w:r w:rsidRPr="00E838D4">
        <w:rPr>
          <w:lang w:eastAsia="en-US"/>
        </w:rPr>
        <w:t xml:space="preserve">An individual product of a BPF, in the form in which it is supplied to the user, can only belong to a single meta-SPC and have a unique authorisation number including the suffix of that meta-SPC. Therefore, the classification of any mixtures in the product should be compatible with the hazard and precautionary statements in the meta-SPC to which the product belongs. Where this is not possible, the product should be redesigned and no longer </w:t>
      </w:r>
      <w:r w:rsidRPr="00E838D4">
        <w:rPr>
          <w:lang w:eastAsia="en-US"/>
        </w:rPr>
        <w:lastRenderedPageBreak/>
        <w:t xml:space="preserve">supplied to the final user as a dual insect bait station but as two separate products belonging to two different meta-SPCs. </w:t>
      </w:r>
    </w:p>
    <w:p w14:paraId="045928C7" w14:textId="77777777" w:rsidR="009D0712" w:rsidRPr="00E838D4" w:rsidRDefault="009D0712" w:rsidP="009D0712">
      <w:pPr>
        <w:pStyle w:val="ListNumber"/>
        <w:rPr>
          <w:sz w:val="10"/>
          <w:lang w:eastAsia="en-US"/>
        </w:rPr>
      </w:pPr>
      <w:r w:rsidRPr="00E838D4">
        <w:rPr>
          <w:lang w:eastAsia="en-US"/>
        </w:rPr>
        <w:t xml:space="preserve">Where none of the two options above are suitable for the applicant, the product in the form of a dual insect bait station could also be authorised as a single biocidal product. </w:t>
      </w:r>
    </w:p>
    <w:p w14:paraId="6B7E175B" w14:textId="77777777" w:rsidR="009D0712" w:rsidRPr="00E838D4" w:rsidRDefault="009D0712" w:rsidP="009D0712">
      <w:pPr>
        <w:pStyle w:val="ListNumber"/>
        <w:rPr>
          <w:lang w:eastAsia="en-US"/>
        </w:rPr>
      </w:pPr>
      <w:r w:rsidRPr="00E838D4">
        <w:rPr>
          <w:b/>
          <w:lang w:eastAsia="en-US"/>
        </w:rPr>
        <w:t>Q:</w:t>
      </w:r>
      <w:r w:rsidRPr="00E838D4">
        <w:rPr>
          <w:lang w:eastAsia="en-US"/>
        </w:rPr>
        <w:t xml:space="preserve"> Can a concentration range for pigments, perfumes and dies (PPDs) be allowed at level 3 when indicating the exact composition of the individual products of the BPF? </w:t>
      </w:r>
    </w:p>
    <w:p w14:paraId="5F52FFAF" w14:textId="77777777" w:rsidR="009D0712" w:rsidRPr="00E838D4" w:rsidRDefault="009D0712" w:rsidP="009D0712">
      <w:pPr>
        <w:pStyle w:val="ListNumber"/>
        <w:numPr>
          <w:ilvl w:val="0"/>
          <w:numId w:val="0"/>
        </w:numPr>
        <w:ind w:left="992"/>
        <w:rPr>
          <w:lang w:eastAsia="en-US"/>
        </w:rPr>
      </w:pPr>
      <w:r w:rsidRPr="00E838D4">
        <w:rPr>
          <w:b/>
          <w:lang w:eastAsia="en-US"/>
        </w:rPr>
        <w:t>A:</w:t>
      </w:r>
      <w:r w:rsidRPr="00E838D4">
        <w:rPr>
          <w:lang w:eastAsia="en-US"/>
        </w:rPr>
        <w:t xml:space="preserve"> No, the exact concentration for PPDs (not allowing ranges) shall be specified at level 3 for each individual product of the BPF. </w:t>
      </w:r>
    </w:p>
    <w:p w14:paraId="0E27BFB5" w14:textId="77777777" w:rsidR="009D0712" w:rsidRDefault="009D0712" w:rsidP="009D0712">
      <w:pPr>
        <w:pStyle w:val="ListNumber"/>
        <w:rPr>
          <w:lang w:eastAsia="en-US"/>
        </w:rPr>
      </w:pPr>
      <w:r w:rsidRPr="00E838D4">
        <w:rPr>
          <w:b/>
          <w:lang w:eastAsia="en-US"/>
        </w:rPr>
        <w:t>Q:</w:t>
      </w:r>
      <w:r w:rsidRPr="00E838D4">
        <w:rPr>
          <w:lang w:eastAsia="en-US"/>
        </w:rPr>
        <w:t xml:space="preserve"> In terms of Letters of Access (LoA) to the active substance(s) dossier; shall the applicant for a BPF authorisation submit a LoA for each individual product of the BPF?</w:t>
      </w:r>
    </w:p>
    <w:p w14:paraId="25F24225" w14:textId="77777777" w:rsidR="009D0712" w:rsidRPr="0028185B" w:rsidRDefault="009D0712" w:rsidP="009D0712">
      <w:pPr>
        <w:pStyle w:val="ListNumber"/>
        <w:numPr>
          <w:ilvl w:val="0"/>
          <w:numId w:val="0"/>
        </w:numPr>
        <w:ind w:left="992"/>
        <w:rPr>
          <w:lang w:eastAsia="en-US"/>
        </w:rPr>
      </w:pPr>
      <w:r w:rsidRPr="005B78A5">
        <w:rPr>
          <w:lang w:eastAsia="en-US"/>
        </w:rPr>
        <w:t>A: No, in accordance with Article 20(1) (c) of the BPR, a LoA to each active substance will be sufficient to cover all the products within the BPF application.</w:t>
      </w:r>
    </w:p>
    <w:p w14:paraId="59E0528B" w14:textId="77777777" w:rsidR="009D0712" w:rsidRPr="00E838D4" w:rsidRDefault="009D0712" w:rsidP="009D0712">
      <w:pPr>
        <w:pStyle w:val="ListNumber"/>
        <w:numPr>
          <w:ilvl w:val="0"/>
          <w:numId w:val="0"/>
        </w:numPr>
        <w:ind w:left="992"/>
        <w:rPr>
          <w:b/>
          <w:i/>
          <w:lang w:eastAsia="en-US"/>
        </w:rPr>
      </w:pPr>
      <w:r>
        <w:rPr>
          <w:b/>
          <w:i/>
          <w:lang w:eastAsia="en-US"/>
        </w:rPr>
        <w:t>Section 3.4 - Post-authorisation notification of new products</w:t>
      </w:r>
    </w:p>
    <w:p w14:paraId="514D32FE" w14:textId="77777777" w:rsidR="009D0712" w:rsidRPr="00E838D4" w:rsidRDefault="009D0712" w:rsidP="009D0712">
      <w:pPr>
        <w:pStyle w:val="ListNumber"/>
        <w:rPr>
          <w:lang w:eastAsia="en-US"/>
        </w:rPr>
      </w:pPr>
      <w:r w:rsidRPr="00E838D4">
        <w:rPr>
          <w:b/>
          <w:lang w:eastAsia="en-US"/>
        </w:rPr>
        <w:t>Q:</w:t>
      </w:r>
      <w:r w:rsidRPr="00E838D4">
        <w:rPr>
          <w:lang w:eastAsia="en-US"/>
        </w:rPr>
        <w:t xml:space="preserve"> How to extend the composition range of a BPF – major vs. minor change?</w:t>
      </w:r>
    </w:p>
    <w:p w14:paraId="19AA158A" w14:textId="77777777" w:rsidR="009D0712" w:rsidRPr="00E838D4" w:rsidRDefault="009D0712" w:rsidP="009D0712">
      <w:pPr>
        <w:pStyle w:val="ListNumber"/>
        <w:numPr>
          <w:ilvl w:val="0"/>
          <w:numId w:val="0"/>
        </w:numPr>
        <w:ind w:left="992"/>
        <w:rPr>
          <w:lang w:eastAsia="en-US"/>
        </w:rPr>
      </w:pPr>
      <w:r w:rsidRPr="00E838D4">
        <w:rPr>
          <w:b/>
          <w:lang w:eastAsia="en-US"/>
        </w:rPr>
        <w:t>A:</w:t>
      </w:r>
      <w:r w:rsidRPr="00E838D4">
        <w:rPr>
          <w:lang w:eastAsia="en-US"/>
        </w:rPr>
        <w:t xml:space="preserve"> The application type of such extension of the family needs to be decided on a case-by-case basis, depending on the extent of the scientific/technical assessment to be performed. </w:t>
      </w:r>
    </w:p>
    <w:p w14:paraId="2D090BC0" w14:textId="77777777" w:rsidR="009D0712" w:rsidRPr="00E838D4" w:rsidRDefault="009D0712" w:rsidP="009D0712">
      <w:pPr>
        <w:pStyle w:val="ListNumber"/>
        <w:numPr>
          <w:ilvl w:val="0"/>
          <w:numId w:val="0"/>
        </w:numPr>
        <w:ind w:left="992"/>
        <w:rPr>
          <w:lang w:eastAsia="en-US"/>
        </w:rPr>
      </w:pPr>
      <w:r>
        <w:rPr>
          <w:lang w:eastAsia="en-US"/>
        </w:rPr>
        <w:t>According to the practical guidance on changes to biocidal products</w:t>
      </w:r>
      <w:r>
        <w:rPr>
          <w:rStyle w:val="FootnoteReference"/>
          <w:lang w:eastAsia="en-US"/>
        </w:rPr>
        <w:footnoteReference w:id="41"/>
      </w:r>
      <w:r>
        <w:rPr>
          <w:lang w:eastAsia="en-US"/>
        </w:rPr>
        <w:t>, t</w:t>
      </w:r>
      <w:r w:rsidRPr="00E838D4">
        <w:rPr>
          <w:lang w:eastAsia="en-US"/>
        </w:rPr>
        <w:t xml:space="preserve">he </w:t>
      </w:r>
      <w:r>
        <w:rPr>
          <w:lang w:eastAsia="en-US"/>
        </w:rPr>
        <w:t>authorisation holder</w:t>
      </w:r>
      <w:r w:rsidRPr="00E838D4">
        <w:rPr>
          <w:lang w:eastAsia="en-US"/>
        </w:rPr>
        <w:t xml:space="preserve"> may request the Agency to provide an opinion on the classification in accordance with the criteria laid down in the Annex to the changes Regulation</w:t>
      </w:r>
      <w:r>
        <w:rPr>
          <w:rStyle w:val="FootnoteReference"/>
          <w:lang w:eastAsia="en-US"/>
        </w:rPr>
        <w:footnoteReference w:id="42"/>
      </w:r>
      <w:r w:rsidRPr="00E838D4">
        <w:rPr>
          <w:lang w:eastAsia="en-US"/>
        </w:rPr>
        <w:t xml:space="preserve"> of a change not listed in one of the tables of that Annex.</w:t>
      </w:r>
    </w:p>
    <w:p w14:paraId="4F149C91" w14:textId="77777777" w:rsidR="009D0712" w:rsidRPr="00E838D4" w:rsidRDefault="009D0712" w:rsidP="009D0712">
      <w:pPr>
        <w:pStyle w:val="ListNumber"/>
        <w:numPr>
          <w:ilvl w:val="0"/>
          <w:numId w:val="0"/>
        </w:numPr>
        <w:ind w:left="992"/>
        <w:rPr>
          <w:lang w:eastAsia="en-US"/>
        </w:rPr>
      </w:pPr>
      <w:r w:rsidRPr="00E838D4">
        <w:rPr>
          <w:lang w:eastAsia="en-US"/>
        </w:rPr>
        <w:t>The opinion shall be delivered within 45 days following receipt of the request and payment of the fee referred to in Article 80(1)(a) of Regulation (EU) No 528/2012.</w:t>
      </w:r>
    </w:p>
    <w:p w14:paraId="64C73C04" w14:textId="77777777" w:rsidR="009D0712" w:rsidRPr="00E838D4" w:rsidRDefault="009D0712" w:rsidP="009D0712">
      <w:pPr>
        <w:pStyle w:val="ListNumber"/>
        <w:numPr>
          <w:ilvl w:val="0"/>
          <w:numId w:val="0"/>
        </w:numPr>
        <w:ind w:left="992"/>
        <w:rPr>
          <w:lang w:eastAsia="en-US"/>
        </w:rPr>
      </w:pPr>
      <w:r w:rsidRPr="00E838D4">
        <w:rPr>
          <w:lang w:eastAsia="en-US"/>
        </w:rPr>
        <w:t>The Agency shall publish the opinion after deletion of all information of commercial confidential nature.</w:t>
      </w:r>
    </w:p>
    <w:p w14:paraId="4A566162" w14:textId="77777777" w:rsidR="009D0712" w:rsidRPr="00E838D4" w:rsidRDefault="009D0712" w:rsidP="009D0712">
      <w:pPr>
        <w:pStyle w:val="ListNumber"/>
        <w:rPr>
          <w:lang w:eastAsia="en-US"/>
        </w:rPr>
      </w:pPr>
      <w:r w:rsidRPr="00E838D4">
        <w:rPr>
          <w:b/>
          <w:lang w:eastAsia="en-US"/>
        </w:rPr>
        <w:t>Q:</w:t>
      </w:r>
      <w:r w:rsidRPr="00E838D4">
        <w:rPr>
          <w:lang w:eastAsia="en-US"/>
        </w:rPr>
        <w:t xml:space="preserve"> Where an </w:t>
      </w:r>
      <w:r>
        <w:rPr>
          <w:lang w:eastAsia="en-US"/>
        </w:rPr>
        <w:t>authorisation holder</w:t>
      </w:r>
      <w:r w:rsidRPr="00E838D4">
        <w:rPr>
          <w:lang w:eastAsia="en-US"/>
        </w:rPr>
        <w:t xml:space="preserve"> wishes to place a new product on the market containing a new component (e.g. a </w:t>
      </w:r>
      <w:r>
        <w:rPr>
          <w:lang w:eastAsia="en-US"/>
        </w:rPr>
        <w:t>pigment, perfume or dye</w:t>
      </w:r>
      <w:r w:rsidRPr="00E838D4">
        <w:rPr>
          <w:lang w:eastAsia="en-US"/>
        </w:rPr>
        <w:t xml:space="preserve">) or one of the existing components at a concentration which is out of the permitted variations, a change to the BPF authorisation has to be agreed first by the relevant CA or the Commission. Once the BPF authorisation has been </w:t>
      </w:r>
      <w:r w:rsidRPr="00E838D4">
        <w:rPr>
          <w:lang w:eastAsia="en-US"/>
        </w:rPr>
        <w:lastRenderedPageBreak/>
        <w:t xml:space="preserve">amended, has the above-mentioned new product to be notified in accordance with Article 17(6) of the BPR before being placed on the market? </w:t>
      </w:r>
    </w:p>
    <w:p w14:paraId="6EE2D712" w14:textId="77777777" w:rsidR="009D0712" w:rsidRPr="00E838D4" w:rsidRDefault="009D0712" w:rsidP="009D0712">
      <w:pPr>
        <w:pStyle w:val="ListNumber"/>
        <w:numPr>
          <w:ilvl w:val="0"/>
          <w:numId w:val="0"/>
        </w:numPr>
        <w:ind w:left="992"/>
        <w:rPr>
          <w:lang w:eastAsia="en-US"/>
        </w:rPr>
      </w:pPr>
      <w:r w:rsidRPr="00E838D4">
        <w:rPr>
          <w:b/>
          <w:lang w:eastAsia="en-US"/>
        </w:rPr>
        <w:t xml:space="preserve">A: </w:t>
      </w:r>
      <w:r w:rsidRPr="00E838D4">
        <w:rPr>
          <w:lang w:eastAsia="en-US"/>
        </w:rPr>
        <w:t>Where the new product is explicitly identified in the application for a change of the BPF and the change is agreed on by the CA, the new product should be listed in the amended SPC of the BPF authorisation and no further notification is needed</w:t>
      </w:r>
      <w:r w:rsidRPr="00E838D4">
        <w:rPr>
          <w:vertAlign w:val="superscript"/>
          <w:lang w:eastAsia="en-US"/>
        </w:rPr>
        <w:footnoteReference w:id="43"/>
      </w:r>
      <w:r w:rsidRPr="00E838D4">
        <w:rPr>
          <w:lang w:eastAsia="en-US"/>
        </w:rPr>
        <w:t>.</w:t>
      </w:r>
    </w:p>
    <w:p w14:paraId="0F61D204" w14:textId="77777777" w:rsidR="009D0712" w:rsidRDefault="009D0712" w:rsidP="009D0712">
      <w:pPr>
        <w:ind w:left="992"/>
        <w:rPr>
          <w:lang w:eastAsia="en-US"/>
        </w:rPr>
      </w:pPr>
      <w:r w:rsidRPr="00E838D4">
        <w:rPr>
          <w:lang w:eastAsia="en-US"/>
        </w:rPr>
        <w:t>Where the new product has not been identified in the application, the new product has to be notified in accordance with Article 17(6) of the BPR once the change has been agreed on.</w:t>
      </w:r>
    </w:p>
    <w:p w14:paraId="5CD115AA" w14:textId="77777777" w:rsidR="00432121" w:rsidRPr="00432121" w:rsidRDefault="00432121" w:rsidP="00432121">
      <w:pPr>
        <w:widowControl w:val="0"/>
        <w:spacing w:before="120" w:after="120"/>
        <w:rPr>
          <w:rFonts w:ascii="Verdana" w:hAnsi="Verdana"/>
          <w:snapToGrid w:val="0"/>
          <w:sz w:val="20"/>
          <w:lang w:eastAsia="fi-FI"/>
        </w:rPr>
      </w:pPr>
    </w:p>
    <w:p w14:paraId="5C390395" w14:textId="77777777" w:rsidR="00432121" w:rsidRPr="00432121" w:rsidRDefault="00432121" w:rsidP="00432121">
      <w:pPr>
        <w:widowControl w:val="0"/>
        <w:spacing w:before="120" w:after="120"/>
        <w:rPr>
          <w:rFonts w:ascii="Verdana" w:hAnsi="Verdana"/>
          <w:b/>
          <w:snapToGrid w:val="0"/>
          <w:sz w:val="20"/>
          <w:u w:val="single"/>
          <w:lang w:eastAsia="fi-FI"/>
        </w:rPr>
      </w:pPr>
    </w:p>
    <w:p w14:paraId="124B4964" w14:textId="77777777" w:rsidR="00432121" w:rsidRPr="00D20AA9" w:rsidRDefault="00432121" w:rsidP="00D20AA9">
      <w:pPr>
        <w:widowControl w:val="0"/>
        <w:spacing w:before="120" w:after="120"/>
        <w:rPr>
          <w:snapToGrid w:val="0"/>
          <w:szCs w:val="24"/>
          <w:lang w:eastAsia="fi-FI"/>
        </w:rPr>
      </w:pPr>
    </w:p>
    <w:p w14:paraId="6D4B4822" w14:textId="77777777" w:rsidR="00D20AA9" w:rsidRPr="00D20AA9" w:rsidRDefault="00D20AA9" w:rsidP="00D20AA9">
      <w:pPr>
        <w:widowControl w:val="0"/>
        <w:spacing w:before="120" w:after="120"/>
        <w:rPr>
          <w:rFonts w:ascii="Verdana" w:hAnsi="Verdana"/>
          <w:snapToGrid w:val="0"/>
          <w:sz w:val="20"/>
          <w:lang w:eastAsia="fi-FI"/>
        </w:rPr>
      </w:pPr>
    </w:p>
    <w:p w14:paraId="7C1B3323" w14:textId="77777777" w:rsidR="00D20AA9" w:rsidRPr="00D20AA9" w:rsidRDefault="00D20AA9" w:rsidP="00D20AA9">
      <w:pPr>
        <w:widowControl w:val="0"/>
        <w:spacing w:before="120" w:after="120"/>
        <w:rPr>
          <w:rFonts w:ascii="Verdana" w:hAnsi="Verdana"/>
          <w:b/>
          <w:snapToGrid w:val="0"/>
          <w:sz w:val="20"/>
          <w:u w:val="single"/>
          <w:lang w:eastAsia="fi-FI"/>
        </w:rPr>
      </w:pPr>
    </w:p>
    <w:p w14:paraId="3A85D068" w14:textId="77777777" w:rsidR="00A043EF" w:rsidRPr="00A043EF" w:rsidRDefault="00A043EF" w:rsidP="00A043EF">
      <w:pPr>
        <w:pStyle w:val="Text1"/>
      </w:pPr>
    </w:p>
    <w:sectPr w:rsidR="00A043EF" w:rsidRPr="00A043EF" w:rsidSect="00385DDA">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8F85B" w14:textId="77777777" w:rsidR="00197580" w:rsidRDefault="00197580">
      <w:pPr>
        <w:spacing w:after="0"/>
      </w:pPr>
      <w:r>
        <w:separator/>
      </w:r>
    </w:p>
  </w:endnote>
  <w:endnote w:type="continuationSeparator" w:id="0">
    <w:p w14:paraId="56BC080D" w14:textId="77777777" w:rsidR="00197580" w:rsidRDefault="001975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E6332" w14:textId="07E8C27A" w:rsidR="00197580" w:rsidRDefault="00197580">
    <w:pPr>
      <w:pStyle w:val="FooterLine"/>
      <w:jc w:val="center"/>
    </w:pPr>
    <w:r>
      <w:fldChar w:fldCharType="begin"/>
    </w:r>
    <w:r>
      <w:instrText>PAGE   \* MERGEFORMAT</w:instrText>
    </w:r>
    <w:r>
      <w:fldChar w:fldCharType="separate"/>
    </w:r>
    <w:r w:rsidR="000501F0">
      <w:rPr>
        <w:noProof/>
      </w:rPr>
      <w:t>48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A300" w14:textId="595A190C" w:rsidR="00197580" w:rsidRDefault="00197580">
    <w:pPr>
      <w:pStyle w:val="FooterLine"/>
      <w:jc w:val="center"/>
    </w:pPr>
    <w:r>
      <w:fldChar w:fldCharType="begin"/>
    </w:r>
    <w:r>
      <w:instrText>PAGE   \* MERGEFORMAT</w:instrText>
    </w:r>
    <w:r>
      <w:fldChar w:fldCharType="separate"/>
    </w:r>
    <w:r w:rsidR="000501F0">
      <w:rPr>
        <w:noProof/>
      </w:rPr>
      <w:t>43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176090"/>
      <w:docPartObj>
        <w:docPartGallery w:val="Page Numbers (Bottom of Page)"/>
        <w:docPartUnique/>
      </w:docPartObj>
    </w:sdtPr>
    <w:sdtEndPr>
      <w:rPr>
        <w:noProof/>
      </w:rPr>
    </w:sdtEndPr>
    <w:sdtContent>
      <w:p w14:paraId="6478D4C2" w14:textId="60C246C8" w:rsidR="00197580" w:rsidRDefault="00197580">
        <w:pPr>
          <w:pStyle w:val="Footer"/>
          <w:jc w:val="center"/>
        </w:pPr>
        <w:r>
          <w:fldChar w:fldCharType="begin"/>
        </w:r>
        <w:r>
          <w:instrText xml:space="preserve"> PAGE   \* MERGEFORMAT </w:instrText>
        </w:r>
        <w:r>
          <w:fldChar w:fldCharType="separate"/>
        </w:r>
        <w:r w:rsidR="000501F0">
          <w:rPr>
            <w:noProof/>
          </w:rPr>
          <w:t>47</w:t>
        </w:r>
        <w:r>
          <w:rPr>
            <w:noProof/>
          </w:rPr>
          <w:fldChar w:fldCharType="end"/>
        </w:r>
      </w:p>
    </w:sdtContent>
  </w:sdt>
  <w:p w14:paraId="0A86F0B2" w14:textId="77777777" w:rsidR="00197580" w:rsidRPr="00696FFE" w:rsidRDefault="00197580" w:rsidP="00696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DF3CC" w14:textId="77777777" w:rsidR="00197580" w:rsidRDefault="00197580">
      <w:pPr>
        <w:spacing w:after="0"/>
      </w:pPr>
      <w:r>
        <w:separator/>
      </w:r>
    </w:p>
  </w:footnote>
  <w:footnote w:type="continuationSeparator" w:id="0">
    <w:p w14:paraId="789173CD" w14:textId="77777777" w:rsidR="00197580" w:rsidRDefault="00197580">
      <w:pPr>
        <w:spacing w:after="0"/>
      </w:pPr>
      <w:r>
        <w:continuationSeparator/>
      </w:r>
    </w:p>
  </w:footnote>
  <w:footnote w:id="1">
    <w:p w14:paraId="65CFC658" w14:textId="77777777" w:rsidR="00197580" w:rsidRPr="00E24AC3" w:rsidRDefault="00197580" w:rsidP="001435E0">
      <w:pPr>
        <w:pStyle w:val="FootnoteText"/>
        <w:spacing w:after="0"/>
        <w:rPr>
          <w:sz w:val="18"/>
          <w:szCs w:val="18"/>
          <w:lang w:val="en-IE"/>
        </w:rPr>
      </w:pPr>
      <w:r w:rsidRPr="00521228">
        <w:rPr>
          <w:rStyle w:val="FootnoteReference"/>
        </w:rPr>
        <w:footnoteRef/>
      </w:r>
      <w:r>
        <w:rPr>
          <w:lang w:val="en-IE"/>
        </w:rPr>
        <w:t xml:space="preserve"> </w:t>
      </w:r>
      <w:hyperlink r:id="rId1" w:history="1">
        <w:r w:rsidRPr="00E24AC3">
          <w:rPr>
            <w:rStyle w:val="Hyperlink"/>
            <w:sz w:val="18"/>
            <w:szCs w:val="18"/>
            <w:lang w:val="en-IE"/>
          </w:rPr>
          <w:t>CA-Nov14-Doc.5.8</w:t>
        </w:r>
      </w:hyperlink>
    </w:p>
  </w:footnote>
  <w:footnote w:id="2">
    <w:p w14:paraId="6EF90C69" w14:textId="77777777" w:rsidR="00197580" w:rsidRPr="00E24AC3" w:rsidRDefault="00197580" w:rsidP="001435E0">
      <w:pPr>
        <w:pStyle w:val="FootnoteText"/>
        <w:spacing w:after="0"/>
        <w:rPr>
          <w:sz w:val="18"/>
          <w:szCs w:val="18"/>
          <w:lang w:val="en-IE"/>
        </w:rPr>
      </w:pPr>
      <w:r w:rsidRPr="00E24AC3">
        <w:rPr>
          <w:rStyle w:val="FootnoteReference"/>
          <w:sz w:val="18"/>
          <w:szCs w:val="18"/>
        </w:rPr>
        <w:footnoteRef/>
      </w:r>
      <w:r w:rsidRPr="00E24AC3">
        <w:rPr>
          <w:sz w:val="18"/>
          <w:szCs w:val="18"/>
        </w:rPr>
        <w:t xml:space="preserve"> The document is available in the secured CIRCABC website of the Coordination Group</w:t>
      </w:r>
    </w:p>
  </w:footnote>
  <w:footnote w:id="3">
    <w:p w14:paraId="0B5B82BC" w14:textId="4EACD845" w:rsidR="00197580" w:rsidRPr="002E1E5E" w:rsidRDefault="00197580">
      <w:pPr>
        <w:pStyle w:val="FootnoteText"/>
      </w:pPr>
      <w:r>
        <w:rPr>
          <w:rStyle w:val="FootnoteReference"/>
        </w:rPr>
        <w:footnoteRef/>
      </w:r>
      <w:r>
        <w:t xml:space="preserve"> </w:t>
      </w:r>
      <w:r w:rsidRPr="002E1E5E">
        <w:rPr>
          <w:sz w:val="18"/>
          <w:szCs w:val="18"/>
        </w:rPr>
        <w:t xml:space="preserve">The </w:t>
      </w:r>
      <w:r>
        <w:rPr>
          <w:sz w:val="18"/>
          <w:szCs w:val="18"/>
        </w:rPr>
        <w:t>backbone composition can be defined by either individual co-formulants, or group(s) of co-formulants with the same function, grouped together by applying the grouping concept (see section Grouping of co-formulants)</w:t>
      </w:r>
    </w:p>
  </w:footnote>
  <w:footnote w:id="4">
    <w:p w14:paraId="1B9C8233" w14:textId="68330D55" w:rsidR="00197580" w:rsidRPr="00DA0100" w:rsidRDefault="00197580">
      <w:pPr>
        <w:pStyle w:val="FootnoteText"/>
      </w:pPr>
      <w:r>
        <w:rPr>
          <w:rStyle w:val="FootnoteReference"/>
        </w:rPr>
        <w:footnoteRef/>
      </w:r>
      <w:r>
        <w:t xml:space="preserve"> </w:t>
      </w:r>
      <w:r w:rsidRPr="00DA0100">
        <w:rPr>
          <w:sz w:val="18"/>
          <w:szCs w:val="18"/>
        </w:rPr>
        <w:t>It should</w:t>
      </w:r>
      <w:r>
        <w:rPr>
          <w:sz w:val="18"/>
          <w:szCs w:val="18"/>
        </w:rPr>
        <w:t xml:space="preserve"> be noted that there are co-formulants that could be considered either as essential or non-essential on a case by case basis. For example, a complexing agent would be considered as essential if it is needed to ensure the integrity of the product. However, if the complexing agent would be included in the product in order to address a need for complexation derived from the use of the product, the complexing agent would not be considered as essential to formulate</w:t>
      </w:r>
    </w:p>
  </w:footnote>
  <w:footnote w:id="5">
    <w:p w14:paraId="635E0E4E" w14:textId="77777777" w:rsidR="00197580" w:rsidRPr="00E24AC3" w:rsidRDefault="00197580" w:rsidP="00556A94">
      <w:pPr>
        <w:pStyle w:val="FootnoteText"/>
        <w:spacing w:after="0"/>
        <w:rPr>
          <w:sz w:val="18"/>
          <w:szCs w:val="18"/>
        </w:rPr>
      </w:pPr>
      <w:r>
        <w:rPr>
          <w:rStyle w:val="FootnoteReference"/>
        </w:rPr>
        <w:footnoteRef/>
      </w:r>
      <w:r>
        <w:t xml:space="preserve"> </w:t>
      </w:r>
      <w:r w:rsidRPr="00E24AC3">
        <w:rPr>
          <w:sz w:val="18"/>
          <w:szCs w:val="18"/>
        </w:rPr>
        <w:t>e.g. intended to be diluted for in use concentration, see Annex II, example #2</w:t>
      </w:r>
    </w:p>
  </w:footnote>
  <w:footnote w:id="6">
    <w:p w14:paraId="2A57B169" w14:textId="77777777" w:rsidR="00197580" w:rsidRPr="00636A57" w:rsidRDefault="00197580" w:rsidP="00556A94">
      <w:pPr>
        <w:pStyle w:val="FootnoteText"/>
        <w:spacing w:after="0"/>
      </w:pPr>
      <w:r w:rsidRPr="00E24AC3">
        <w:rPr>
          <w:rStyle w:val="FootnoteReference"/>
          <w:sz w:val="18"/>
          <w:szCs w:val="18"/>
        </w:rPr>
        <w:footnoteRef/>
      </w:r>
      <w:r w:rsidRPr="00E24AC3">
        <w:rPr>
          <w:sz w:val="18"/>
          <w:szCs w:val="18"/>
        </w:rPr>
        <w:t xml:space="preserve"> e.g. solid products as powders or tablets containing only certain co-formulants, see Annex II, example #3.</w:t>
      </w:r>
      <w:r>
        <w:t xml:space="preserve"> </w:t>
      </w:r>
    </w:p>
  </w:footnote>
  <w:footnote w:id="7">
    <w:p w14:paraId="55C734CA" w14:textId="71FB096E" w:rsidR="00197580" w:rsidRDefault="00197580">
      <w:pPr>
        <w:pStyle w:val="FootnoteText"/>
      </w:pPr>
      <w:r>
        <w:rPr>
          <w:rStyle w:val="FootnoteReference"/>
        </w:rPr>
        <w:footnoteRef/>
      </w:r>
      <w:r>
        <w:t xml:space="preserve"> The matrix tool will be available at:</w:t>
      </w:r>
      <w:r w:rsidRPr="00FD32A5">
        <w:t xml:space="preserve"> </w:t>
      </w:r>
      <w:hyperlink r:id="rId2" w:history="1">
        <w:r w:rsidR="006F2B57" w:rsidRPr="00F273C4">
          <w:rPr>
            <w:rStyle w:val="Hyperlink"/>
          </w:rPr>
          <w:t>https://webgate.ec.europa.eu/s-circabc/w/browse/89efe476-1017-46af-8a31-6ad845f79d04</w:t>
        </w:r>
      </w:hyperlink>
      <w:r w:rsidRPr="001F3CB7">
        <w:cr/>
      </w:r>
    </w:p>
    <w:p w14:paraId="5B426714" w14:textId="77777777" w:rsidR="00197580" w:rsidRPr="00FD32A5" w:rsidRDefault="00197580">
      <w:pPr>
        <w:pStyle w:val="FootnoteText"/>
      </w:pPr>
    </w:p>
  </w:footnote>
  <w:footnote w:id="8">
    <w:p w14:paraId="013DD247" w14:textId="77777777" w:rsidR="00197580" w:rsidRPr="00FE30F5" w:rsidRDefault="00197580" w:rsidP="009E4699">
      <w:pPr>
        <w:pStyle w:val="FootnoteText"/>
        <w:rPr>
          <w:sz w:val="18"/>
          <w:szCs w:val="18"/>
        </w:rPr>
      </w:pPr>
      <w:r w:rsidRPr="002348EF">
        <w:rPr>
          <w:rStyle w:val="FootnoteReference"/>
          <w:sz w:val="18"/>
          <w:szCs w:val="18"/>
        </w:rPr>
        <w:footnoteRef/>
      </w:r>
      <w:r w:rsidRPr="002348EF">
        <w:rPr>
          <w:sz w:val="18"/>
          <w:szCs w:val="18"/>
        </w:rPr>
        <w:t xml:space="preserve"> </w:t>
      </w:r>
      <w:r w:rsidRPr="00FE30F5">
        <w:rPr>
          <w:sz w:val="18"/>
          <w:szCs w:val="18"/>
        </w:rPr>
        <w:t>It is up to the evaluating CA/refMS to decide whether the core includes a significant proportion of the BPF. In any case applications which would be largely redundant should be avoided.</w:t>
      </w:r>
    </w:p>
  </w:footnote>
  <w:footnote w:id="9">
    <w:p w14:paraId="3BB8AC0F" w14:textId="77777777" w:rsidR="00197580" w:rsidRPr="00FE30F5" w:rsidRDefault="00197580" w:rsidP="009E4699">
      <w:pPr>
        <w:pStyle w:val="FootnoteText"/>
        <w:rPr>
          <w:sz w:val="18"/>
          <w:szCs w:val="18"/>
        </w:rPr>
      </w:pPr>
      <w:r w:rsidRPr="00FE30F5">
        <w:rPr>
          <w:rStyle w:val="FootnoteReference"/>
          <w:sz w:val="18"/>
          <w:szCs w:val="18"/>
        </w:rPr>
        <w:footnoteRef/>
      </w:r>
      <w:r w:rsidRPr="00FE30F5">
        <w:rPr>
          <w:sz w:val="18"/>
          <w:szCs w:val="18"/>
        </w:rPr>
        <w:t xml:space="preserve"> However, the meta-SPCs should not be used to structure the risk assessment, but only to improve the readability of the SPC. Fulfilling the requirements of Article 17(6) (one unique set of information per meta-SPC) provides clarity about the overall BPF-structure. In fact, the meta-SPCs are the result of the assessment and not the starting point.</w:t>
      </w:r>
    </w:p>
  </w:footnote>
  <w:footnote w:id="10">
    <w:p w14:paraId="36AD931E" w14:textId="77777777" w:rsidR="00197580" w:rsidRPr="00FE30F5" w:rsidRDefault="00197580" w:rsidP="009E4699">
      <w:pPr>
        <w:pStyle w:val="FootnoteText"/>
        <w:rPr>
          <w:rFonts w:cs="Arial"/>
          <w:sz w:val="18"/>
          <w:szCs w:val="18"/>
        </w:rPr>
      </w:pPr>
      <w:r w:rsidRPr="002348EF">
        <w:rPr>
          <w:rStyle w:val="FootnoteReference"/>
          <w:rFonts w:cs="Arial"/>
          <w:sz w:val="18"/>
          <w:szCs w:val="18"/>
        </w:rPr>
        <w:footnoteRef/>
      </w:r>
      <w:r w:rsidRPr="002348EF">
        <w:rPr>
          <w:rFonts w:cs="Arial"/>
          <w:sz w:val="18"/>
          <w:szCs w:val="18"/>
        </w:rPr>
        <w:t xml:space="preserve"> </w:t>
      </w:r>
      <w:r w:rsidRPr="00FE30F5">
        <w:rPr>
          <w:rFonts w:cs="Arial"/>
          <w:sz w:val="18"/>
          <w:szCs w:val="18"/>
        </w:rPr>
        <w:t>E.g. powder, granules, tablets of same composition are all diluted to the same in use concentration.</w:t>
      </w:r>
    </w:p>
  </w:footnote>
  <w:footnote w:id="11">
    <w:p w14:paraId="3BF1B8C5" w14:textId="77777777" w:rsidR="00197580" w:rsidRPr="00FE30F5" w:rsidRDefault="00197580" w:rsidP="009E4699">
      <w:pPr>
        <w:pStyle w:val="FootnoteText"/>
        <w:rPr>
          <w:rFonts w:cs="Arial"/>
          <w:sz w:val="18"/>
          <w:szCs w:val="18"/>
        </w:rPr>
      </w:pPr>
      <w:r w:rsidRPr="00FE30F5">
        <w:rPr>
          <w:rStyle w:val="FootnoteReference"/>
          <w:rFonts w:cs="Arial"/>
          <w:sz w:val="18"/>
          <w:szCs w:val="18"/>
        </w:rPr>
        <w:footnoteRef/>
      </w:r>
      <w:r w:rsidRPr="00FE30F5">
        <w:rPr>
          <w:rFonts w:cs="Arial"/>
          <w:sz w:val="18"/>
          <w:szCs w:val="18"/>
        </w:rPr>
        <w:t xml:space="preserve"> </w:t>
      </w:r>
      <w:r w:rsidRPr="00FE30F5">
        <w:rPr>
          <w:rStyle w:val="CommentReference"/>
          <w:rFonts w:cs="Arial"/>
          <w:sz w:val="18"/>
          <w:szCs w:val="18"/>
        </w:rPr>
        <w:t>T</w:t>
      </w:r>
      <w:r w:rsidRPr="00FE30F5">
        <w:rPr>
          <w:rFonts w:cs="Arial"/>
          <w:sz w:val="18"/>
          <w:szCs w:val="18"/>
        </w:rPr>
        <w:t>he use of the concentrate includes only an additional mixing and loading step before application. Therefore, in cases where the concentrate and RTU products are in the same BPF, it would be acceptable to consider an additional core composition consisting of the concentrate for the mixing and loading stage (see Annex VI example 1 for an illustration of this case).</w:t>
      </w:r>
    </w:p>
  </w:footnote>
  <w:footnote w:id="12">
    <w:p w14:paraId="434A335C" w14:textId="77777777" w:rsidR="00197580" w:rsidRPr="00FE30F5" w:rsidRDefault="00197580" w:rsidP="009E4699">
      <w:pPr>
        <w:pStyle w:val="FootnoteText"/>
        <w:rPr>
          <w:sz w:val="18"/>
          <w:szCs w:val="18"/>
        </w:rPr>
      </w:pPr>
      <w:r w:rsidRPr="00FE30F5">
        <w:rPr>
          <w:rStyle w:val="FootnoteReference"/>
          <w:sz w:val="18"/>
          <w:szCs w:val="18"/>
        </w:rPr>
        <w:footnoteRef/>
      </w:r>
      <w:r w:rsidRPr="00FE30F5">
        <w:rPr>
          <w:sz w:val="18"/>
          <w:szCs w:val="18"/>
        </w:rPr>
        <w:t xml:space="preserve"> E.g. human health (HH), environment (ENV), efficacy (EFF).</w:t>
      </w:r>
    </w:p>
  </w:footnote>
  <w:footnote w:id="13">
    <w:p w14:paraId="10A12971" w14:textId="77777777" w:rsidR="00197580" w:rsidRPr="00FE30F5" w:rsidRDefault="00197580" w:rsidP="009E4699">
      <w:pPr>
        <w:pStyle w:val="FootnoteText"/>
        <w:rPr>
          <w:sz w:val="18"/>
          <w:szCs w:val="18"/>
        </w:rPr>
      </w:pPr>
      <w:r w:rsidRPr="00FE30F5">
        <w:rPr>
          <w:rStyle w:val="FootnoteReference"/>
          <w:sz w:val="18"/>
          <w:szCs w:val="18"/>
        </w:rPr>
        <w:footnoteRef/>
      </w:r>
      <w:r w:rsidRPr="00FE30F5">
        <w:rPr>
          <w:sz w:val="18"/>
          <w:szCs w:val="18"/>
        </w:rPr>
        <w:t xml:space="preserve"> Regarding concentrates, two concentrations have to be taken into account. Concerning mixing and loading (dilution step): the concentrate. Concerning the in use formulation (dilution): the RTU concentration.</w:t>
      </w:r>
    </w:p>
  </w:footnote>
  <w:footnote w:id="14">
    <w:p w14:paraId="11BF7F70" w14:textId="34648825" w:rsidR="00197580" w:rsidRPr="00FE30F5" w:rsidRDefault="00197580" w:rsidP="009E4699">
      <w:pPr>
        <w:pStyle w:val="FootnoteText"/>
        <w:rPr>
          <w:sz w:val="18"/>
          <w:szCs w:val="18"/>
        </w:rPr>
      </w:pPr>
      <w:r w:rsidRPr="00FE30F5">
        <w:rPr>
          <w:rStyle w:val="FootnoteReference"/>
          <w:sz w:val="18"/>
          <w:szCs w:val="18"/>
        </w:rPr>
        <w:footnoteRef/>
      </w:r>
      <w:r w:rsidR="008F1CD6">
        <w:rPr>
          <w:sz w:val="18"/>
          <w:szCs w:val="18"/>
        </w:rPr>
        <w:t xml:space="preserve"> F</w:t>
      </w:r>
      <w:r w:rsidRPr="00FE30F5">
        <w:rPr>
          <w:sz w:val="18"/>
          <w:szCs w:val="18"/>
        </w:rPr>
        <w:t>or each use it should be checked whether it is already covered by a use previously assessed. The applicant is strongly encouraged to structure and present the uses applied for in an appropriate way in order to minimise the overall workload.</w:t>
      </w:r>
    </w:p>
  </w:footnote>
  <w:footnote w:id="15">
    <w:p w14:paraId="7A88A5AE" w14:textId="43877F38" w:rsidR="00197580" w:rsidRPr="00FE30F5" w:rsidRDefault="00197580" w:rsidP="009E4699">
      <w:pPr>
        <w:pStyle w:val="FootnoteText"/>
        <w:rPr>
          <w:sz w:val="18"/>
          <w:szCs w:val="18"/>
        </w:rPr>
      </w:pPr>
      <w:r w:rsidRPr="00FE30F5">
        <w:rPr>
          <w:rStyle w:val="FootnoteReference"/>
          <w:sz w:val="18"/>
          <w:szCs w:val="18"/>
        </w:rPr>
        <w:footnoteRef/>
      </w:r>
      <w:r w:rsidR="008F1CD6">
        <w:rPr>
          <w:sz w:val="18"/>
          <w:szCs w:val="18"/>
        </w:rPr>
        <w:t xml:space="preserve"> </w:t>
      </w:r>
      <w:r w:rsidRPr="00FE30F5">
        <w:rPr>
          <w:sz w:val="18"/>
          <w:szCs w:val="18"/>
        </w:rPr>
        <w:t>E.g. in use concentration(s), application rate, frequency of application, user category, f</w:t>
      </w:r>
      <w:r>
        <w:rPr>
          <w:sz w:val="18"/>
          <w:szCs w:val="18"/>
        </w:rPr>
        <w:t>ield of use, application method</w:t>
      </w:r>
    </w:p>
  </w:footnote>
  <w:footnote w:id="16">
    <w:p w14:paraId="6748F4AD" w14:textId="50EF8E7E" w:rsidR="00197580" w:rsidRPr="00FE30F5" w:rsidRDefault="00197580" w:rsidP="009E4699">
      <w:pPr>
        <w:pStyle w:val="FootnoteText"/>
        <w:rPr>
          <w:sz w:val="18"/>
          <w:szCs w:val="18"/>
        </w:rPr>
      </w:pPr>
      <w:r w:rsidRPr="00FE30F5">
        <w:rPr>
          <w:rStyle w:val="FootnoteReference"/>
          <w:sz w:val="18"/>
          <w:szCs w:val="18"/>
        </w:rPr>
        <w:footnoteRef/>
      </w:r>
      <w:r w:rsidR="008F1CD6">
        <w:rPr>
          <w:sz w:val="18"/>
          <w:szCs w:val="18"/>
        </w:rPr>
        <w:t xml:space="preserve"> </w:t>
      </w:r>
      <w:r w:rsidRPr="00FE30F5">
        <w:rPr>
          <w:sz w:val="18"/>
          <w:szCs w:val="18"/>
        </w:rPr>
        <w:t>In this case the applicant has two options: Either the use applied (one box in the SPC) is split into uses (e.g. with different application rates) or the use is presented in a subset.</w:t>
      </w:r>
    </w:p>
  </w:footnote>
  <w:footnote w:id="17">
    <w:p w14:paraId="74DF8369" w14:textId="77777777" w:rsidR="00197580" w:rsidRPr="00FE30F5" w:rsidRDefault="00197580" w:rsidP="009E4699">
      <w:pPr>
        <w:pStyle w:val="FootnoteText"/>
        <w:rPr>
          <w:sz w:val="18"/>
          <w:szCs w:val="18"/>
        </w:rPr>
      </w:pPr>
      <w:r w:rsidRPr="00FE30F5">
        <w:rPr>
          <w:rStyle w:val="FootnoteReference"/>
          <w:sz w:val="18"/>
          <w:szCs w:val="18"/>
        </w:rPr>
        <w:footnoteRef/>
      </w:r>
      <w:r w:rsidRPr="00FE30F5">
        <w:rPr>
          <w:sz w:val="18"/>
          <w:szCs w:val="18"/>
        </w:rPr>
        <w:t xml:space="preserve"> E.g. target organisms, contact times, clean/dirty conditions, in use concentration(s), application rate.</w:t>
      </w:r>
    </w:p>
  </w:footnote>
  <w:footnote w:id="18">
    <w:p w14:paraId="3DC148EF" w14:textId="77777777" w:rsidR="00197580" w:rsidRPr="00FE30F5" w:rsidRDefault="00197580" w:rsidP="00EA7CD3">
      <w:pPr>
        <w:pStyle w:val="FootnoteText"/>
        <w:rPr>
          <w:rFonts w:cs="Arial"/>
          <w:sz w:val="18"/>
          <w:szCs w:val="18"/>
        </w:rPr>
      </w:pPr>
      <w:r w:rsidRPr="002348EF">
        <w:rPr>
          <w:rStyle w:val="FootnoteReference"/>
          <w:rFonts w:cs="Arial"/>
          <w:sz w:val="18"/>
          <w:szCs w:val="18"/>
        </w:rPr>
        <w:footnoteRef/>
      </w:r>
      <w:r w:rsidRPr="002348EF">
        <w:rPr>
          <w:rFonts w:cs="Arial"/>
          <w:sz w:val="18"/>
          <w:szCs w:val="18"/>
        </w:rPr>
        <w:t xml:space="preserve"> </w:t>
      </w:r>
      <w:r w:rsidRPr="00FE30F5">
        <w:rPr>
          <w:rFonts w:cs="Arial"/>
          <w:sz w:val="18"/>
          <w:szCs w:val="18"/>
        </w:rPr>
        <w:t>E.g. powder, granules, tablets of same composition are all diluted to the same in use concentration.</w:t>
      </w:r>
    </w:p>
  </w:footnote>
  <w:footnote w:id="19">
    <w:p w14:paraId="3B17C0FB" w14:textId="77777777" w:rsidR="00197580" w:rsidRPr="00FE30F5" w:rsidRDefault="00197580" w:rsidP="00EA7CD3">
      <w:pPr>
        <w:pStyle w:val="FootnoteText"/>
        <w:rPr>
          <w:rFonts w:cs="Arial"/>
          <w:sz w:val="18"/>
          <w:szCs w:val="18"/>
        </w:rPr>
      </w:pPr>
      <w:r w:rsidRPr="00FE30F5">
        <w:rPr>
          <w:rStyle w:val="FootnoteReference"/>
          <w:rFonts w:cs="Arial"/>
          <w:sz w:val="18"/>
          <w:szCs w:val="18"/>
        </w:rPr>
        <w:footnoteRef/>
      </w:r>
      <w:r w:rsidRPr="00FE30F5">
        <w:rPr>
          <w:rFonts w:cs="Arial"/>
          <w:sz w:val="18"/>
          <w:szCs w:val="18"/>
        </w:rPr>
        <w:t xml:space="preserve"> </w:t>
      </w:r>
      <w:r w:rsidRPr="00FE30F5">
        <w:rPr>
          <w:rStyle w:val="CommentReference"/>
          <w:rFonts w:cs="Arial"/>
          <w:sz w:val="18"/>
          <w:szCs w:val="18"/>
        </w:rPr>
        <w:t>T</w:t>
      </w:r>
      <w:r w:rsidRPr="00FE30F5">
        <w:rPr>
          <w:rFonts w:cs="Arial"/>
          <w:sz w:val="18"/>
          <w:szCs w:val="18"/>
        </w:rPr>
        <w:t>he use of the concentrate includes only an additional mixing and loading step before application. Therefore, in cases where the concentrate and RTU products are in the same BPF, it would be acceptable to consider an additional core composition consisting of the concentrate for the mixing and loading stage (see Annex VI example 1 for an illustration of this case).</w:t>
      </w:r>
    </w:p>
  </w:footnote>
  <w:footnote w:id="20">
    <w:p w14:paraId="195333F4" w14:textId="77777777" w:rsidR="00197580" w:rsidRPr="00FE30F5" w:rsidRDefault="00197580" w:rsidP="009E4699">
      <w:pPr>
        <w:pStyle w:val="FootnoteText"/>
        <w:rPr>
          <w:sz w:val="18"/>
          <w:szCs w:val="18"/>
        </w:rPr>
      </w:pPr>
      <w:r w:rsidRPr="00FE30F5">
        <w:rPr>
          <w:rStyle w:val="FootnoteReference"/>
          <w:sz w:val="18"/>
          <w:szCs w:val="18"/>
        </w:rPr>
        <w:footnoteRef/>
      </w:r>
      <w:r w:rsidRPr="00FE30F5">
        <w:rPr>
          <w:sz w:val="18"/>
          <w:szCs w:val="18"/>
        </w:rPr>
        <w:t xml:space="preserve"> E.g. for different target organisms, development stages or label claims (e.g. nest kill, shorter contact time).</w:t>
      </w:r>
    </w:p>
  </w:footnote>
  <w:footnote w:id="21">
    <w:p w14:paraId="27FCD828" w14:textId="77777777" w:rsidR="00197580" w:rsidRPr="00FE30F5" w:rsidRDefault="00197580" w:rsidP="009E4699">
      <w:pPr>
        <w:pStyle w:val="FootnoteText"/>
        <w:rPr>
          <w:sz w:val="18"/>
          <w:szCs w:val="18"/>
        </w:rPr>
      </w:pPr>
      <w:r w:rsidRPr="00FE30F5">
        <w:rPr>
          <w:rStyle w:val="FootnoteReference"/>
          <w:sz w:val="18"/>
          <w:szCs w:val="18"/>
        </w:rPr>
        <w:footnoteRef/>
      </w:r>
      <w:r w:rsidRPr="00FE30F5">
        <w:rPr>
          <w:sz w:val="18"/>
          <w:szCs w:val="18"/>
        </w:rPr>
        <w:t xml:space="preserve"> E.g. for different user categories (e.g. non-professional user) or fields of use (e.g. outdoor use).</w:t>
      </w:r>
    </w:p>
  </w:footnote>
  <w:footnote w:id="22">
    <w:p w14:paraId="29FD3912" w14:textId="77777777" w:rsidR="00197580" w:rsidRPr="00FE30F5" w:rsidRDefault="00197580" w:rsidP="009E4699">
      <w:pPr>
        <w:pStyle w:val="FootnoteText"/>
        <w:rPr>
          <w:sz w:val="18"/>
          <w:szCs w:val="18"/>
        </w:rPr>
      </w:pPr>
      <w:r w:rsidRPr="00FE30F5">
        <w:rPr>
          <w:rStyle w:val="FootnoteReference"/>
          <w:sz w:val="18"/>
          <w:szCs w:val="18"/>
        </w:rPr>
        <w:footnoteRef/>
      </w:r>
      <w:r w:rsidRPr="00FE30F5">
        <w:rPr>
          <w:sz w:val="18"/>
          <w:szCs w:val="18"/>
        </w:rPr>
        <w:t xml:space="preserve"> In principle, each subset can include as many meta-SPCs as the core but generally not more.</w:t>
      </w:r>
    </w:p>
  </w:footnote>
  <w:footnote w:id="23">
    <w:p w14:paraId="72832667" w14:textId="77777777" w:rsidR="00197580" w:rsidRPr="00FE30F5" w:rsidRDefault="00197580" w:rsidP="00B17342">
      <w:pPr>
        <w:pStyle w:val="FootnoteText"/>
        <w:spacing w:after="0"/>
        <w:rPr>
          <w:sz w:val="18"/>
          <w:szCs w:val="18"/>
        </w:rPr>
      </w:pPr>
      <w:r w:rsidRPr="00FE30F5">
        <w:rPr>
          <w:rStyle w:val="FootnoteReference"/>
          <w:sz w:val="18"/>
          <w:szCs w:val="18"/>
        </w:rPr>
        <w:footnoteRef/>
      </w:r>
      <w:r w:rsidRPr="00FE30F5">
        <w:rPr>
          <w:sz w:val="18"/>
          <w:szCs w:val="18"/>
        </w:rPr>
        <w:t xml:space="preserve"> Subsets triggering a complete re assessment of all parameters from the core are not acceptable. Only re assessments with a limited number of parameters changed are acceptable.</w:t>
      </w:r>
    </w:p>
  </w:footnote>
  <w:footnote w:id="24">
    <w:p w14:paraId="2C652678" w14:textId="77777777" w:rsidR="00197580" w:rsidRPr="00FE30F5" w:rsidRDefault="00197580" w:rsidP="00E24ED6">
      <w:pPr>
        <w:pStyle w:val="FootnoteText"/>
        <w:rPr>
          <w:sz w:val="18"/>
          <w:szCs w:val="18"/>
        </w:rPr>
      </w:pPr>
      <w:r w:rsidRPr="00FE30F5">
        <w:rPr>
          <w:rStyle w:val="FootnoteReference"/>
          <w:sz w:val="18"/>
          <w:szCs w:val="18"/>
        </w:rPr>
        <w:footnoteRef/>
      </w:r>
      <w:r w:rsidRPr="00FE30F5">
        <w:rPr>
          <w:sz w:val="18"/>
          <w:szCs w:val="18"/>
        </w:rPr>
        <w:t xml:space="preserve"> A refinement allows refining the risk assessment by taking into account more realistic values (here e.g. an active substance concentration of only 5-10 % for products for non-professional users instead of 5-20 % for the core which includes the products for the professional user.</w:t>
      </w:r>
    </w:p>
  </w:footnote>
  <w:footnote w:id="25">
    <w:p w14:paraId="3F81968C" w14:textId="77777777" w:rsidR="00197580" w:rsidRPr="00FE30F5" w:rsidRDefault="00197580" w:rsidP="00E24ED6">
      <w:pPr>
        <w:pStyle w:val="FootnoteText"/>
        <w:rPr>
          <w:sz w:val="18"/>
          <w:szCs w:val="18"/>
        </w:rPr>
      </w:pPr>
      <w:r w:rsidRPr="00FE30F5">
        <w:rPr>
          <w:rStyle w:val="FootnoteReference"/>
          <w:sz w:val="18"/>
          <w:szCs w:val="18"/>
        </w:rPr>
        <w:footnoteRef/>
      </w:r>
      <w:r w:rsidRPr="00FE30F5">
        <w:rPr>
          <w:sz w:val="18"/>
          <w:szCs w:val="18"/>
        </w:rPr>
        <w:t xml:space="preserve"> To be identified for the subset in accordance with section </w:t>
      </w:r>
      <w:r>
        <w:rPr>
          <w:sz w:val="18"/>
          <w:szCs w:val="18"/>
        </w:rPr>
        <w:t>1</w:t>
      </w:r>
    </w:p>
  </w:footnote>
  <w:footnote w:id="26">
    <w:p w14:paraId="6979413D" w14:textId="77777777" w:rsidR="00197580" w:rsidRPr="00FE30F5" w:rsidRDefault="00197580" w:rsidP="00E24ED6">
      <w:pPr>
        <w:pStyle w:val="FootnoteText"/>
        <w:rPr>
          <w:sz w:val="18"/>
          <w:szCs w:val="18"/>
        </w:rPr>
      </w:pPr>
      <w:r w:rsidRPr="00FE30F5">
        <w:rPr>
          <w:rStyle w:val="FootnoteReference"/>
          <w:sz w:val="18"/>
          <w:szCs w:val="18"/>
        </w:rPr>
        <w:footnoteRef/>
      </w:r>
      <w:r w:rsidRPr="00FE30F5">
        <w:rPr>
          <w:sz w:val="18"/>
          <w:szCs w:val="18"/>
        </w:rPr>
        <w:t xml:space="preserve"> This could be an important tool in supporting para. 77 of Article VI o</w:t>
      </w:r>
      <w:r>
        <w:rPr>
          <w:sz w:val="18"/>
          <w:szCs w:val="18"/>
        </w:rPr>
        <w:t>f the BPR</w:t>
      </w:r>
    </w:p>
  </w:footnote>
  <w:footnote w:id="27">
    <w:p w14:paraId="6BC8ACD4" w14:textId="77777777" w:rsidR="00197580" w:rsidRPr="00FE30F5" w:rsidRDefault="00197580" w:rsidP="00B17342">
      <w:pPr>
        <w:pStyle w:val="FootnoteText"/>
        <w:spacing w:after="0"/>
        <w:rPr>
          <w:sz w:val="18"/>
          <w:szCs w:val="18"/>
        </w:rPr>
      </w:pPr>
      <w:r w:rsidRPr="00FE30F5">
        <w:rPr>
          <w:rStyle w:val="FootnoteReference"/>
          <w:sz w:val="18"/>
          <w:szCs w:val="18"/>
        </w:rPr>
        <w:footnoteRef/>
      </w:r>
      <w:r w:rsidRPr="00FE30F5">
        <w:rPr>
          <w:sz w:val="18"/>
          <w:szCs w:val="18"/>
        </w:rPr>
        <w:t xml:space="preserve"> A refinement allows to refine the efficacy assessment by taking into account more realistic values (here e.g. an active substance concentration of 15-20% for products against an additional target organism instead of 5-20 % for the core which includes the products against three other target organisms.</w:t>
      </w:r>
    </w:p>
  </w:footnote>
  <w:footnote w:id="28">
    <w:p w14:paraId="0C9B41E5" w14:textId="77777777" w:rsidR="00197580" w:rsidRPr="00FE30F5" w:rsidRDefault="00197580" w:rsidP="009E4699">
      <w:pPr>
        <w:pStyle w:val="FootnoteText"/>
        <w:rPr>
          <w:sz w:val="18"/>
          <w:szCs w:val="18"/>
        </w:rPr>
      </w:pPr>
      <w:r w:rsidRPr="00FE30F5">
        <w:rPr>
          <w:rStyle w:val="FootnoteReference"/>
          <w:sz w:val="18"/>
          <w:szCs w:val="18"/>
        </w:rPr>
        <w:footnoteRef/>
      </w:r>
      <w:r w:rsidRPr="00FE30F5">
        <w:rPr>
          <w:sz w:val="18"/>
          <w:szCs w:val="18"/>
        </w:rPr>
        <w:t xml:space="preserve"> E.g. where the worst-case core formulation of the core does not represent all highest component concentrations, nor contain all components of the formulation.</w:t>
      </w:r>
    </w:p>
  </w:footnote>
  <w:footnote w:id="29">
    <w:p w14:paraId="3B3BB1DA" w14:textId="77777777" w:rsidR="00197580" w:rsidRPr="00FE30F5" w:rsidRDefault="00197580" w:rsidP="009E4699">
      <w:pPr>
        <w:pStyle w:val="FootnoteText"/>
        <w:rPr>
          <w:sz w:val="18"/>
          <w:szCs w:val="18"/>
        </w:rPr>
      </w:pPr>
      <w:r w:rsidRPr="00FE30F5">
        <w:rPr>
          <w:rStyle w:val="FootnoteReference"/>
          <w:sz w:val="18"/>
          <w:szCs w:val="18"/>
        </w:rPr>
        <w:footnoteRef/>
      </w:r>
      <w:r w:rsidRPr="00FE30F5">
        <w:rPr>
          <w:sz w:val="18"/>
          <w:szCs w:val="18"/>
        </w:rPr>
        <w:t xml:space="preserve"> Refinements of: 1. Human/animal health risk assessment; 2. Environmental risk assessment; 3. Efficacy assessment</w:t>
      </w:r>
    </w:p>
  </w:footnote>
  <w:footnote w:id="30">
    <w:p w14:paraId="20F9A7D1" w14:textId="77777777" w:rsidR="00197580" w:rsidRPr="00B02107" w:rsidRDefault="00197580" w:rsidP="00F67FE9">
      <w:pPr>
        <w:pStyle w:val="FootnoteText"/>
      </w:pPr>
      <w:r>
        <w:rPr>
          <w:rStyle w:val="FootnoteReference"/>
        </w:rPr>
        <w:footnoteRef/>
      </w:r>
      <w:r>
        <w:t xml:space="preserve"> A</w:t>
      </w:r>
      <w:r w:rsidRPr="00B02107">
        <w:t>ny potential product of</w:t>
      </w:r>
      <w:r>
        <w:t xml:space="preserve"> </w:t>
      </w:r>
      <w:r w:rsidRPr="00B02107">
        <w:t>the additional meta SPC and every</w:t>
      </w:r>
      <w:r>
        <w:t xml:space="preserve"> use has to fulfil the similarity criteria.</w:t>
      </w:r>
    </w:p>
  </w:footnote>
  <w:footnote w:id="31">
    <w:p w14:paraId="24A7AFE1" w14:textId="27ECE4BA" w:rsidR="00197580" w:rsidRPr="00FE30F5" w:rsidRDefault="00197580" w:rsidP="00E24ED6">
      <w:pPr>
        <w:pStyle w:val="FootnoteText"/>
        <w:rPr>
          <w:sz w:val="18"/>
          <w:szCs w:val="18"/>
          <w:lang w:val="en-US"/>
        </w:rPr>
      </w:pPr>
      <w:r>
        <w:rPr>
          <w:rStyle w:val="FootnoteReference"/>
        </w:rPr>
        <w:footnoteRef/>
      </w:r>
      <w:r>
        <w:t xml:space="preserve"> </w:t>
      </w:r>
      <w:r w:rsidRPr="00FE30F5">
        <w:rPr>
          <w:sz w:val="18"/>
          <w:szCs w:val="18"/>
          <w:lang w:val="en-US"/>
        </w:rPr>
        <w:t>It is therefore not necessary for all products within the BPF to be placed on the market at the time of authorization</w:t>
      </w:r>
    </w:p>
  </w:footnote>
  <w:footnote w:id="32">
    <w:p w14:paraId="501311FF" w14:textId="7CECCF1A" w:rsidR="00197580" w:rsidRPr="00FE30F5" w:rsidRDefault="00197580" w:rsidP="004F4976">
      <w:pPr>
        <w:pStyle w:val="FootnoteText"/>
        <w:rPr>
          <w:sz w:val="18"/>
          <w:szCs w:val="18"/>
          <w:lang w:val="en-US"/>
        </w:rPr>
      </w:pPr>
      <w:r w:rsidRPr="00FE30F5">
        <w:rPr>
          <w:rStyle w:val="FootnoteReference"/>
          <w:sz w:val="18"/>
          <w:szCs w:val="18"/>
        </w:rPr>
        <w:footnoteRef/>
      </w:r>
      <w:r w:rsidRPr="00FE30F5">
        <w:rPr>
          <w:sz w:val="18"/>
          <w:szCs w:val="18"/>
        </w:rPr>
        <w:t xml:space="preserve"> </w:t>
      </w:r>
      <w:r w:rsidRPr="00FE30F5">
        <w:rPr>
          <w:sz w:val="18"/>
          <w:szCs w:val="18"/>
          <w:lang w:val="en-US"/>
        </w:rPr>
        <w:t xml:space="preserve">This means that the AH will have to accept the set of RMMs covering all the authorized uses for that </w:t>
      </w:r>
      <w:r w:rsidRPr="00FE30F5">
        <w:rPr>
          <w:i/>
          <w:sz w:val="18"/>
          <w:szCs w:val="18"/>
          <w:lang w:val="en-US"/>
        </w:rPr>
        <w:t>meta-</w:t>
      </w:r>
      <w:r w:rsidRPr="00FE30F5">
        <w:rPr>
          <w:sz w:val="18"/>
          <w:szCs w:val="18"/>
          <w:lang w:val="en-US"/>
        </w:rPr>
        <w:t>SPC. This does not mean though that all the authorized uses have to be presented on the product label (i.e. partial label-SPC correspondence) as agreed in document CA-May14-Doc.5.6 – Final.</w:t>
      </w:r>
    </w:p>
  </w:footnote>
  <w:footnote w:id="33">
    <w:p w14:paraId="06A63384" w14:textId="440E0782" w:rsidR="00197580" w:rsidRPr="00FE30F5" w:rsidRDefault="00197580">
      <w:pPr>
        <w:pStyle w:val="FootnoteText"/>
        <w:rPr>
          <w:sz w:val="18"/>
          <w:szCs w:val="18"/>
        </w:rPr>
      </w:pPr>
      <w:r w:rsidRPr="00FE30F5">
        <w:rPr>
          <w:rStyle w:val="FootnoteReference"/>
          <w:sz w:val="18"/>
          <w:szCs w:val="18"/>
        </w:rPr>
        <w:footnoteRef/>
      </w:r>
      <w:r w:rsidR="008F1CD6">
        <w:rPr>
          <w:sz w:val="18"/>
          <w:szCs w:val="18"/>
        </w:rPr>
        <w:t xml:space="preserve"> T</w:t>
      </w:r>
      <w:r w:rsidRPr="00FE30F5">
        <w:rPr>
          <w:sz w:val="18"/>
          <w:szCs w:val="18"/>
        </w:rPr>
        <w:t>he draft shall only contain the specific product composition in terms of active substance(s) and non-active substance(s) knowledge of which is essential for the proper use of the product. The submission of the draft is without prejudice to the formal notification in which AH shall indicate the exact product composition, trade name(s) and the suffix to the authorisation number.</w:t>
      </w:r>
    </w:p>
  </w:footnote>
  <w:footnote w:id="34">
    <w:p w14:paraId="3112F432" w14:textId="77777777" w:rsidR="00197580" w:rsidRPr="00B546AA" w:rsidRDefault="00197580">
      <w:pPr>
        <w:pStyle w:val="FootnoteText"/>
        <w:rPr>
          <w:sz w:val="18"/>
          <w:szCs w:val="18"/>
          <w:lang w:val="en-IE"/>
        </w:rPr>
      </w:pPr>
      <w:r w:rsidRPr="00B546AA">
        <w:rPr>
          <w:rStyle w:val="FootnoteReference"/>
          <w:sz w:val="18"/>
          <w:szCs w:val="18"/>
        </w:rPr>
        <w:footnoteRef/>
      </w:r>
      <w:r w:rsidRPr="00B546AA">
        <w:rPr>
          <w:sz w:val="18"/>
          <w:szCs w:val="18"/>
        </w:rPr>
        <w:t xml:space="preserve"> </w:t>
      </w:r>
      <w:r w:rsidRPr="00B546AA">
        <w:rPr>
          <w:sz w:val="18"/>
          <w:szCs w:val="18"/>
          <w:lang w:eastAsia="en-US"/>
        </w:rPr>
        <w:t>i.e. AS(s), PT(s), intended use(s), user category/ies, the number of meta-SPCs foreseen and the number of products in the BPF</w:t>
      </w:r>
    </w:p>
  </w:footnote>
  <w:footnote w:id="35">
    <w:p w14:paraId="3F2EE034" w14:textId="77777777" w:rsidR="00197580" w:rsidRPr="00B546AA" w:rsidRDefault="00197580" w:rsidP="009B1A2A">
      <w:pPr>
        <w:pStyle w:val="FootnoteText"/>
        <w:rPr>
          <w:sz w:val="18"/>
          <w:szCs w:val="18"/>
          <w:lang w:val="en-IE"/>
        </w:rPr>
      </w:pPr>
      <w:r w:rsidRPr="00B546AA">
        <w:rPr>
          <w:rStyle w:val="FootnoteReference"/>
          <w:sz w:val="18"/>
          <w:szCs w:val="18"/>
        </w:rPr>
        <w:footnoteRef/>
      </w:r>
      <w:r w:rsidRPr="00B546AA">
        <w:rPr>
          <w:sz w:val="18"/>
          <w:szCs w:val="18"/>
        </w:rPr>
        <w:t xml:space="preserve"> </w:t>
      </w:r>
      <w:r w:rsidRPr="00B546AA">
        <w:rPr>
          <w:sz w:val="18"/>
          <w:szCs w:val="18"/>
          <w:lang w:eastAsia="en-US"/>
        </w:rPr>
        <w:t>e.g. list of foreseen cMSs in case of MR procedures, number of existing products covered by the BPF, etc.</w:t>
      </w:r>
    </w:p>
  </w:footnote>
  <w:footnote w:id="36">
    <w:p w14:paraId="045C1405" w14:textId="77777777" w:rsidR="00197580" w:rsidRPr="00B546AA" w:rsidRDefault="00197580">
      <w:pPr>
        <w:pStyle w:val="FootnoteText"/>
        <w:rPr>
          <w:sz w:val="18"/>
          <w:szCs w:val="18"/>
        </w:rPr>
      </w:pPr>
      <w:r w:rsidRPr="00B546AA">
        <w:rPr>
          <w:rStyle w:val="FootnoteReference"/>
          <w:sz w:val="18"/>
          <w:szCs w:val="18"/>
        </w:rPr>
        <w:footnoteRef/>
      </w:r>
      <w:r w:rsidRPr="00B546AA">
        <w:rPr>
          <w:sz w:val="18"/>
          <w:szCs w:val="18"/>
        </w:rPr>
        <w:t xml:space="preserve"> Available at </w:t>
      </w:r>
      <w:hyperlink r:id="rId3" w:history="1">
        <w:r w:rsidRPr="0045044F">
          <w:rPr>
            <w:rStyle w:val="Hyperlink"/>
            <w:sz w:val="18"/>
            <w:szCs w:val="18"/>
          </w:rPr>
          <w:t>https://echa.europa.eu/support/dossier-submission-tools/r4bp/supporting-documents</w:t>
        </w:r>
      </w:hyperlink>
    </w:p>
  </w:footnote>
  <w:footnote w:id="37">
    <w:p w14:paraId="5B78B139" w14:textId="77777777" w:rsidR="00197580" w:rsidRPr="009521C1" w:rsidRDefault="00197580" w:rsidP="00E854C5">
      <w:pPr>
        <w:pStyle w:val="FootnoteText"/>
      </w:pPr>
      <w:r>
        <w:rPr>
          <w:rStyle w:val="FootnoteReference"/>
        </w:rPr>
        <w:footnoteRef/>
      </w:r>
      <w:r>
        <w:t xml:space="preserve"> </w:t>
      </w:r>
      <w:r w:rsidRPr="009521C1">
        <w:t>The matrix reflects the application of the agreed criteria to the currently identified patterns of use: Therefore applicants and MSs are expected to follow the outcome of the current matrix. Where a use p</w:t>
      </w:r>
      <w:r>
        <w:t>a</w:t>
      </w:r>
      <w:r w:rsidRPr="009521C1">
        <w:t>ttern is not found in the matrix, then the criteria should be applied on a case by case basis.</w:t>
      </w:r>
    </w:p>
  </w:footnote>
  <w:footnote w:id="38">
    <w:p w14:paraId="4033B465" w14:textId="77777777" w:rsidR="00197580" w:rsidRDefault="00197580" w:rsidP="00E854C5">
      <w:pPr>
        <w:pStyle w:val="FootnoteText"/>
      </w:pPr>
      <w:r>
        <w:rPr>
          <w:rStyle w:val="FootnoteReference"/>
        </w:rPr>
        <w:footnoteRef/>
      </w:r>
      <w:r>
        <w:t xml:space="preserve"> Not all use patterns are specified, therefore a use pattern “other” has been included where necessary to address other uses within a given PT. </w:t>
      </w:r>
    </w:p>
  </w:footnote>
  <w:footnote w:id="39">
    <w:p w14:paraId="1A9C549F" w14:textId="77777777" w:rsidR="00197580" w:rsidRPr="007C4CF7" w:rsidRDefault="00197580">
      <w:pPr>
        <w:pStyle w:val="FootnoteText"/>
      </w:pPr>
      <w:r>
        <w:rPr>
          <w:rStyle w:val="FootnoteReference"/>
        </w:rPr>
        <w:footnoteRef/>
      </w:r>
      <w:r>
        <w:t xml:space="preserve"> In exceptional cases MS can accept more than two red uses.</w:t>
      </w:r>
    </w:p>
  </w:footnote>
  <w:footnote w:id="40">
    <w:p w14:paraId="7A6707A3" w14:textId="77777777" w:rsidR="00197580" w:rsidRPr="00B546AA" w:rsidRDefault="00197580" w:rsidP="005053B8">
      <w:pPr>
        <w:pStyle w:val="FootnoteText"/>
        <w:rPr>
          <w:sz w:val="18"/>
          <w:szCs w:val="18"/>
        </w:rPr>
      </w:pPr>
      <w:r w:rsidRPr="00B546AA">
        <w:rPr>
          <w:rStyle w:val="FootnoteReference"/>
          <w:sz w:val="18"/>
          <w:szCs w:val="18"/>
        </w:rPr>
        <w:footnoteRef/>
      </w:r>
      <w:r w:rsidRPr="00B546AA">
        <w:rPr>
          <w:sz w:val="18"/>
          <w:szCs w:val="18"/>
        </w:rPr>
        <w:t xml:space="preserve"> The necessary level of detail and the generally acceptable line of argument should be discussed in detail in the relevant Expert Working Groups.</w:t>
      </w:r>
    </w:p>
  </w:footnote>
  <w:footnote w:id="41">
    <w:p w14:paraId="36C29C53" w14:textId="77777777" w:rsidR="009D0712" w:rsidRPr="00665455" w:rsidRDefault="009D0712" w:rsidP="009D0712">
      <w:pPr>
        <w:pStyle w:val="FootnoteText"/>
        <w:rPr>
          <w:lang w:val="en-IE"/>
        </w:rPr>
      </w:pPr>
      <w:r>
        <w:rPr>
          <w:rStyle w:val="FootnoteReference"/>
        </w:rPr>
        <w:footnoteRef/>
      </w:r>
      <w:r w:rsidRPr="00665455">
        <w:rPr>
          <w:lang w:val="en-IE"/>
        </w:rPr>
        <w:t xml:space="preserve"> Available </w:t>
      </w:r>
      <w:hyperlink r:id="rId4" w:history="1">
        <w:r w:rsidRPr="00665455">
          <w:rPr>
            <w:rStyle w:val="Hyperlink"/>
            <w:lang w:val="en-IE"/>
          </w:rPr>
          <w:t>here</w:t>
        </w:r>
      </w:hyperlink>
    </w:p>
  </w:footnote>
  <w:footnote w:id="42">
    <w:p w14:paraId="62F3F0D2" w14:textId="77777777" w:rsidR="009D0712" w:rsidRPr="00323C17" w:rsidRDefault="009D0712" w:rsidP="009D0712">
      <w:pPr>
        <w:pStyle w:val="FootnoteText"/>
      </w:pPr>
      <w:r>
        <w:rPr>
          <w:rStyle w:val="FootnoteReference"/>
        </w:rPr>
        <w:footnoteRef/>
      </w:r>
      <w:r>
        <w:t xml:space="preserve"> Commission Implementing Regulation (EU) No 354/2013 of 18 April 2013 on changes of biocidal products authorised in accordance with Regulation (EU) No 528/2012 of the European Parliament and of the Council. OJ L 109, 19.04.April 2013, p. 4</w:t>
      </w:r>
    </w:p>
  </w:footnote>
  <w:footnote w:id="43">
    <w:p w14:paraId="436A8BDE" w14:textId="77777777" w:rsidR="009D0712" w:rsidRPr="00943B00" w:rsidRDefault="009D0712" w:rsidP="009D0712">
      <w:pPr>
        <w:pStyle w:val="FootnoteText"/>
      </w:pPr>
      <w:r>
        <w:rPr>
          <w:rStyle w:val="FootnoteReference"/>
        </w:rPr>
        <w:footnoteRef/>
      </w:r>
      <w:r>
        <w:t xml:space="preserve"> </w:t>
      </w:r>
      <w:r>
        <w:tab/>
        <w:t xml:space="preserve">The applicant would have to provide though a </w:t>
      </w:r>
      <w:r w:rsidRPr="00943B00">
        <w:t>draft “product-specific SPC”, which should be checked by CAs before making it available in the R4BP3 for dissemination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5C35" w14:textId="77777777" w:rsidR="00197580" w:rsidRDefault="00197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2A31" w14:textId="77777777" w:rsidR="00197580" w:rsidRDefault="00197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BBB8" w14:textId="512C5463" w:rsidR="00197580" w:rsidRDefault="00197580">
    <w:pPr>
      <w:pStyle w:val="Header"/>
      <w:rPr>
        <w:lang w:val="en-IE"/>
      </w:rPr>
    </w:pPr>
    <w:r w:rsidRPr="00791769">
      <w:rPr>
        <w:lang w:val="en-IE"/>
      </w:rPr>
      <w:t>8</w:t>
    </w:r>
    <w:r>
      <w:rPr>
        <w:lang w:val="en-IE"/>
      </w:rPr>
      <w:t>4</w:t>
    </w:r>
    <w:r w:rsidRPr="007E40ED">
      <w:rPr>
        <w:vertAlign w:val="superscript"/>
        <w:lang w:val="en-IE"/>
      </w:rPr>
      <w:t>th</w:t>
    </w:r>
    <w:r>
      <w:rPr>
        <w:lang w:val="en-IE"/>
      </w:rPr>
      <w:t xml:space="preserve"> </w:t>
    </w:r>
    <w:r w:rsidRPr="00791769">
      <w:rPr>
        <w:lang w:val="en-IE"/>
      </w:rPr>
      <w:t xml:space="preserve">CA meeting </w:t>
    </w:r>
    <w:r w:rsidRPr="00791769">
      <w:rPr>
        <w:lang w:val="en-IE"/>
      </w:rPr>
      <w:tab/>
    </w:r>
    <w:r w:rsidRPr="00791769">
      <w:rPr>
        <w:lang w:val="en-IE"/>
      </w:rPr>
      <w:tab/>
      <w:t>CA-</w:t>
    </w:r>
    <w:r>
      <w:rPr>
        <w:lang w:val="en-IE"/>
      </w:rPr>
      <w:t>July</w:t>
    </w:r>
    <w:r w:rsidRPr="00791769">
      <w:rPr>
        <w:lang w:val="en-IE"/>
      </w:rPr>
      <w:t>19-</w:t>
    </w:r>
    <w:r>
      <w:rPr>
        <w:lang w:val="en-IE"/>
      </w:rPr>
      <w:t>Doc4.2</w:t>
    </w:r>
    <w:r w:rsidR="00ED0B7C">
      <w:rPr>
        <w:lang w:val="en-IE"/>
      </w:rPr>
      <w:t>-Final</w:t>
    </w:r>
    <w:r w:rsidR="00A94438">
      <w:rPr>
        <w:lang w:val="en-IE"/>
      </w:rPr>
      <w:t>_rev1</w:t>
    </w:r>
  </w:p>
  <w:p w14:paraId="2CAE4710" w14:textId="36D10740" w:rsidR="00A94438" w:rsidRPr="00791769" w:rsidRDefault="00A94438">
    <w:pPr>
      <w:pStyle w:val="Header"/>
      <w:rPr>
        <w:lang w:val="en-IE"/>
      </w:rPr>
    </w:pPr>
    <w:r>
      <w:rPr>
        <w:lang w:val="en-IE"/>
      </w:rPr>
      <w:tab/>
      <w:t>As revised by CA-Feb20-Doc.4.6_BPF Annex Q&amp;A final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971A380C"/>
    <w:name w:val="ListDash4Numbering"/>
    <w:lvl w:ilvl="0">
      <w:start w:val="1"/>
      <w:numFmt w:val="bullet"/>
      <w:pStyle w:val="ListDash4"/>
      <w:lvlText w:val="–"/>
      <w:lvlJc w:val="left"/>
      <w:pPr>
        <w:tabs>
          <w:tab w:val="num" w:pos="1712"/>
        </w:tabs>
        <w:ind w:left="1712" w:hanging="283"/>
      </w:pPr>
      <w:rPr>
        <w:rFonts w:ascii="Times New Roman" w:hAnsi="Times New Roman"/>
      </w:rPr>
    </w:lvl>
    <w:lvl w:ilvl="1">
      <w:start w:val="1"/>
      <w:numFmt w:val="bullet"/>
      <w:pStyle w:val="ListDash4Level2"/>
      <w:lvlText w:val="–"/>
      <w:lvlJc w:val="left"/>
      <w:pPr>
        <w:tabs>
          <w:tab w:val="num" w:pos="1996"/>
        </w:tabs>
        <w:ind w:left="1996" w:hanging="284"/>
      </w:pPr>
      <w:rPr>
        <w:rFonts w:ascii="Times New Roman" w:hAnsi="Times New Roman"/>
      </w:rPr>
    </w:lvl>
    <w:lvl w:ilvl="2">
      <w:start w:val="1"/>
      <w:numFmt w:val="bullet"/>
      <w:pStyle w:val="ListDash4Level3"/>
      <w:lvlText w:val="–"/>
      <w:lvlJc w:val="left"/>
      <w:pPr>
        <w:tabs>
          <w:tab w:val="num" w:pos="2279"/>
        </w:tabs>
        <w:ind w:left="2279" w:hanging="283"/>
      </w:pPr>
      <w:rPr>
        <w:rFonts w:ascii="Times New Roman" w:hAnsi="Times New Roman"/>
      </w:rPr>
    </w:lvl>
    <w:lvl w:ilvl="3">
      <w:start w:val="1"/>
      <w:numFmt w:val="bullet"/>
      <w:pStyle w:val="ListDash4Level4"/>
      <w:lvlText w:val="–"/>
      <w:lvlJc w:val="left"/>
      <w:pPr>
        <w:tabs>
          <w:tab w:val="num" w:pos="2563"/>
        </w:tabs>
        <w:ind w:left="2563"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BB5C2824"/>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DE645690"/>
    <w:lvl w:ilvl="0">
      <w:start w:val="1"/>
      <w:numFmt w:val="decimal"/>
      <w:pStyle w:val="ListNumber"/>
      <w:lvlText w:val="(%1)"/>
      <w:lvlJc w:val="left"/>
      <w:pPr>
        <w:tabs>
          <w:tab w:val="num" w:pos="992"/>
        </w:tabs>
        <w:ind w:left="992" w:hanging="709"/>
      </w:pPr>
      <w:rPr>
        <w:b w:val="0"/>
        <w:i w:val="0"/>
        <w:strike w:val="0"/>
        <w:color w:val="000000" w:themeColor="text1"/>
      </w:rPr>
    </w:lvl>
    <w:lvl w:ilvl="1">
      <w:start w:val="1"/>
      <w:numFmt w:val="lowerLetter"/>
      <w:pStyle w:val="ListNumberLevel2"/>
      <w:lvlText w:val="(%2)"/>
      <w:lvlJc w:val="left"/>
      <w:pPr>
        <w:tabs>
          <w:tab w:val="num" w:pos="1417"/>
        </w:tabs>
        <w:ind w:left="1417" w:hanging="708"/>
      </w:pPr>
      <w:rPr>
        <w:b w:val="0"/>
      </w:rPr>
    </w:lvl>
    <w:lvl w:ilvl="2">
      <w:start w:val="1"/>
      <w:numFmt w:val="lowerRoman"/>
      <w:pStyle w:val="ListNumberLevel3"/>
      <w:lvlText w:val="%3."/>
      <w:lvlJc w:val="right"/>
      <w:pPr>
        <w:tabs>
          <w:tab w:val="num" w:pos="2126"/>
        </w:tabs>
        <w:ind w:left="2126" w:hanging="709"/>
      </w:p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62685D"/>
    <w:multiLevelType w:val="multilevel"/>
    <w:tmpl w:val="53B81422"/>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43D0A16"/>
    <w:multiLevelType w:val="multilevel"/>
    <w:tmpl w:val="3216D134"/>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72F0AC5"/>
    <w:multiLevelType w:val="multilevel"/>
    <w:tmpl w:val="47C27374"/>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8372515"/>
    <w:multiLevelType w:val="hybridMultilevel"/>
    <w:tmpl w:val="FE80FE9C"/>
    <w:lvl w:ilvl="0" w:tplc="70A02F90">
      <w:start w:val="1"/>
      <w:numFmt w:val="lowerLetter"/>
      <w:lvlText w:val="%1)"/>
      <w:lvlJc w:val="left"/>
      <w:pPr>
        <w:ind w:left="720" w:hanging="360"/>
      </w:pPr>
      <w:rPr>
        <w:rFonts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B624F"/>
    <w:multiLevelType w:val="multilevel"/>
    <w:tmpl w:val="489E6DCE"/>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251303AD"/>
    <w:multiLevelType w:val="hybridMultilevel"/>
    <w:tmpl w:val="AB2C4630"/>
    <w:name w:val="ListNumber1Numbering2"/>
    <w:lvl w:ilvl="0" w:tplc="5CE2D4EC">
      <w:start w:val="1"/>
      <w:numFmt w:val="bullet"/>
      <w:lvlText w:val=""/>
      <w:lvlJc w:val="left"/>
      <w:pPr>
        <w:ind w:left="1911" w:hanging="360"/>
      </w:pPr>
      <w:rPr>
        <w:rFonts w:ascii="Symbol" w:hAnsi="Symbol" w:hint="default"/>
      </w:rPr>
    </w:lvl>
    <w:lvl w:ilvl="1" w:tplc="080C0003" w:tentative="1">
      <w:start w:val="1"/>
      <w:numFmt w:val="bullet"/>
      <w:lvlText w:val="o"/>
      <w:lvlJc w:val="left"/>
      <w:pPr>
        <w:ind w:left="2631" w:hanging="360"/>
      </w:pPr>
      <w:rPr>
        <w:rFonts w:ascii="Courier New" w:hAnsi="Courier New" w:cs="Courier New" w:hint="default"/>
      </w:rPr>
    </w:lvl>
    <w:lvl w:ilvl="2" w:tplc="080C0005" w:tentative="1">
      <w:start w:val="1"/>
      <w:numFmt w:val="bullet"/>
      <w:lvlText w:val=""/>
      <w:lvlJc w:val="left"/>
      <w:pPr>
        <w:ind w:left="3351" w:hanging="360"/>
      </w:pPr>
      <w:rPr>
        <w:rFonts w:ascii="Wingdings" w:hAnsi="Wingdings" w:hint="default"/>
      </w:rPr>
    </w:lvl>
    <w:lvl w:ilvl="3" w:tplc="080C0001" w:tentative="1">
      <w:start w:val="1"/>
      <w:numFmt w:val="bullet"/>
      <w:lvlText w:val=""/>
      <w:lvlJc w:val="left"/>
      <w:pPr>
        <w:ind w:left="4071" w:hanging="360"/>
      </w:pPr>
      <w:rPr>
        <w:rFonts w:ascii="Symbol" w:hAnsi="Symbol" w:hint="default"/>
      </w:rPr>
    </w:lvl>
    <w:lvl w:ilvl="4" w:tplc="080C0003" w:tentative="1">
      <w:start w:val="1"/>
      <w:numFmt w:val="bullet"/>
      <w:lvlText w:val="o"/>
      <w:lvlJc w:val="left"/>
      <w:pPr>
        <w:ind w:left="4791" w:hanging="360"/>
      </w:pPr>
      <w:rPr>
        <w:rFonts w:ascii="Courier New" w:hAnsi="Courier New" w:cs="Courier New" w:hint="default"/>
      </w:rPr>
    </w:lvl>
    <w:lvl w:ilvl="5" w:tplc="080C0005" w:tentative="1">
      <w:start w:val="1"/>
      <w:numFmt w:val="bullet"/>
      <w:lvlText w:val=""/>
      <w:lvlJc w:val="left"/>
      <w:pPr>
        <w:ind w:left="5511" w:hanging="360"/>
      </w:pPr>
      <w:rPr>
        <w:rFonts w:ascii="Wingdings" w:hAnsi="Wingdings" w:hint="default"/>
      </w:rPr>
    </w:lvl>
    <w:lvl w:ilvl="6" w:tplc="080C0001" w:tentative="1">
      <w:start w:val="1"/>
      <w:numFmt w:val="bullet"/>
      <w:lvlText w:val=""/>
      <w:lvlJc w:val="left"/>
      <w:pPr>
        <w:ind w:left="6231" w:hanging="360"/>
      </w:pPr>
      <w:rPr>
        <w:rFonts w:ascii="Symbol" w:hAnsi="Symbol" w:hint="default"/>
      </w:rPr>
    </w:lvl>
    <w:lvl w:ilvl="7" w:tplc="080C0003" w:tentative="1">
      <w:start w:val="1"/>
      <w:numFmt w:val="bullet"/>
      <w:lvlText w:val="o"/>
      <w:lvlJc w:val="left"/>
      <w:pPr>
        <w:ind w:left="6951" w:hanging="360"/>
      </w:pPr>
      <w:rPr>
        <w:rFonts w:ascii="Courier New" w:hAnsi="Courier New" w:cs="Courier New" w:hint="default"/>
      </w:rPr>
    </w:lvl>
    <w:lvl w:ilvl="8" w:tplc="080C0005" w:tentative="1">
      <w:start w:val="1"/>
      <w:numFmt w:val="bullet"/>
      <w:lvlText w:val=""/>
      <w:lvlJc w:val="left"/>
      <w:pPr>
        <w:ind w:left="7671" w:hanging="360"/>
      </w:pPr>
      <w:rPr>
        <w:rFonts w:ascii="Wingdings" w:hAnsi="Wingdings" w:hint="default"/>
      </w:rPr>
    </w:lvl>
  </w:abstractNum>
  <w:abstractNum w:abstractNumId="9" w15:restartNumberingAfterBreak="0">
    <w:nsid w:val="2C8DFDF8"/>
    <w:multiLevelType w:val="multilevel"/>
    <w:tmpl w:val="67C09560"/>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13004F2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6324F1E"/>
    <w:multiLevelType w:val="multilevel"/>
    <w:tmpl w:val="DFD6C11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7CB1E1C"/>
    <w:multiLevelType w:val="multilevel"/>
    <w:tmpl w:val="6A86274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A7730C4"/>
    <w:multiLevelType w:val="multilevel"/>
    <w:tmpl w:val="E7343A1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429E662A"/>
    <w:multiLevelType w:val="multilevel"/>
    <w:tmpl w:val="4E440308"/>
    <w:name w:val="ListNumber2Numbering"/>
    <w:lvl w:ilvl="0">
      <w:start w:val="1"/>
      <w:numFmt w:val="lowerLetter"/>
      <w:pStyle w:val="ListNumber1"/>
      <w:lvlText w:val="(%1)"/>
      <w:lvlJc w:val="left"/>
      <w:pPr>
        <w:tabs>
          <w:tab w:val="num" w:pos="1191"/>
        </w:tabs>
        <w:ind w:left="1191" w:hanging="709"/>
      </w:pPr>
      <w:rPr>
        <w:rFonts w:hint="default"/>
        <w:i w:val="0"/>
      </w:rPr>
    </w:lvl>
    <w:lvl w:ilvl="1">
      <w:start w:val="1"/>
      <w:numFmt w:val="lowerLetter"/>
      <w:pStyle w:val="ListNumber1Level2"/>
      <w:lvlText w:val="(%2)"/>
      <w:lvlJc w:val="left"/>
      <w:pPr>
        <w:tabs>
          <w:tab w:val="num" w:pos="1984"/>
        </w:tabs>
        <w:ind w:left="1984" w:hanging="708"/>
      </w:pPr>
      <w:rPr>
        <w:rFonts w:hint="default"/>
        <w:b w:val="0"/>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15" w15:restartNumberingAfterBreak="0">
    <w:nsid w:val="47315EF8"/>
    <w:multiLevelType w:val="hybridMultilevel"/>
    <w:tmpl w:val="B066E992"/>
    <w:lvl w:ilvl="0" w:tplc="0407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A1E25"/>
    <w:multiLevelType w:val="multilevel"/>
    <w:tmpl w:val="48AA0558"/>
    <w:styleLink w:val="ECHANumberlist"/>
    <w:lvl w:ilvl="0">
      <w:start w:val="1"/>
      <w:numFmt w:val="decimal"/>
      <w:lvlText w:val="%1."/>
      <w:lvlJc w:val="left"/>
      <w:pPr>
        <w:tabs>
          <w:tab w:val="num" w:pos="720"/>
        </w:tabs>
        <w:ind w:left="720" w:hanging="36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E1A982C"/>
    <w:multiLevelType w:val="multilevel"/>
    <w:tmpl w:val="40D8026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C72D5C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632005B4"/>
    <w:multiLevelType w:val="hybridMultilevel"/>
    <w:tmpl w:val="C8D0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7472E"/>
    <w:multiLevelType w:val="multilevel"/>
    <w:tmpl w:val="64D6FF36"/>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7C65145E"/>
    <w:multiLevelType w:val="multilevel"/>
    <w:tmpl w:val="A0984F90"/>
    <w:name w:val="EurolookHeading"/>
    <w:lvl w:ilvl="0">
      <w:start w:val="1"/>
      <w:numFmt w:val="decimal"/>
      <w:pStyle w:val="Heading1"/>
      <w:lvlText w:val="%1."/>
      <w:lvlJc w:val="left"/>
      <w:pPr>
        <w:tabs>
          <w:tab w:val="num" w:pos="482"/>
        </w:tabs>
        <w:ind w:left="482" w:hanging="482"/>
      </w:pPr>
      <w:rPr>
        <w:rFonts w:hint="default"/>
      </w:rPr>
    </w:lvl>
    <w:lvl w:ilvl="1">
      <w:start w:val="1"/>
      <w:numFmt w:val="decimal"/>
      <w:pStyle w:val="Heading2"/>
      <w:lvlText w:val="%1.%2."/>
      <w:lvlJc w:val="left"/>
      <w:pPr>
        <w:tabs>
          <w:tab w:val="num" w:pos="1145"/>
        </w:tabs>
        <w:ind w:left="1145" w:hanging="720"/>
      </w:pPr>
      <w:rPr>
        <w:rFonts w:hint="default"/>
      </w:rPr>
    </w:lvl>
    <w:lvl w:ilvl="2">
      <w:start w:val="1"/>
      <w:numFmt w:val="decimal"/>
      <w:pStyle w:val="Heading3"/>
      <w:lvlText w:val="%1.%2.%3."/>
      <w:lvlJc w:val="left"/>
      <w:pPr>
        <w:tabs>
          <w:tab w:val="num" w:pos="1922"/>
        </w:tabs>
        <w:ind w:left="1922" w:hanging="720"/>
      </w:pPr>
      <w:rPr>
        <w:rFonts w:hint="default"/>
      </w:rPr>
    </w:lvl>
    <w:lvl w:ilvl="3">
      <w:start w:val="1"/>
      <w:numFmt w:val="decimal"/>
      <w:pStyle w:val="Heading4"/>
      <w:lvlText w:val="%1.%2.%3.%4."/>
      <w:lvlJc w:val="left"/>
      <w:pPr>
        <w:tabs>
          <w:tab w:val="num" w:pos="1922"/>
        </w:tabs>
        <w:ind w:left="1922" w:hanging="720"/>
      </w:pPr>
      <w:rPr>
        <w:rFonts w:hint="default"/>
      </w:rPr>
    </w:lvl>
    <w:lvl w:ilvl="4">
      <w:start w:val="1"/>
      <w:numFmt w:val="decimal"/>
      <w:pStyle w:val="Heading5"/>
      <w:lvlText w:val="%1.%2.%3.%4.%5."/>
      <w:lvlJc w:val="left"/>
      <w:pPr>
        <w:tabs>
          <w:tab w:val="num" w:pos="2880"/>
        </w:tabs>
        <w:ind w:left="3838" w:hanging="958"/>
      </w:pPr>
      <w:rPr>
        <w:rFonts w:hint="default"/>
      </w:rPr>
    </w:lvl>
    <w:lvl w:ilvl="5">
      <w:start w:val="1"/>
      <w:numFmt w:val="decimal"/>
      <w:pStyle w:val="Heading6"/>
      <w:lvlText w:val="%1.%2.%3.%4.%5.%6."/>
      <w:lvlJc w:val="left"/>
      <w:pPr>
        <w:tabs>
          <w:tab w:val="num" w:pos="2880"/>
        </w:tabs>
        <w:ind w:left="3838" w:hanging="958"/>
      </w:pPr>
      <w:rPr>
        <w:rFonts w:hint="default"/>
      </w:rPr>
    </w:lvl>
    <w:lvl w:ilvl="6">
      <w:start w:val="1"/>
      <w:numFmt w:val="decimal"/>
      <w:pStyle w:val="Heading7"/>
      <w:lvlText w:val="%1.%2.%3.%4.%5.%6.%7."/>
      <w:lvlJc w:val="left"/>
      <w:pPr>
        <w:tabs>
          <w:tab w:val="num" w:pos="2880"/>
        </w:tabs>
        <w:ind w:left="3838" w:hanging="958"/>
      </w:pPr>
      <w:rPr>
        <w:rFonts w:hint="default"/>
      </w:rPr>
    </w:lvl>
    <w:lvl w:ilvl="7">
      <w:start w:val="1"/>
      <w:numFmt w:val="decimal"/>
      <w:pStyle w:val="Heading8"/>
      <w:lvlText w:val="%1.%2.%3.%4.%5.%6.%7.%8."/>
      <w:lvlJc w:val="left"/>
      <w:pPr>
        <w:tabs>
          <w:tab w:val="num" w:pos="2880"/>
        </w:tabs>
        <w:ind w:left="3838" w:hanging="958"/>
      </w:pPr>
      <w:rPr>
        <w:rFonts w:hint="default"/>
      </w:rPr>
    </w:lvl>
    <w:lvl w:ilvl="8">
      <w:start w:val="1"/>
      <w:numFmt w:val="decimal"/>
      <w:pStyle w:val="Heading9"/>
      <w:lvlText w:val="%1.%2.%3.%4.%5.%6.%7.%8.%9."/>
      <w:lvlJc w:val="left"/>
      <w:pPr>
        <w:tabs>
          <w:tab w:val="num" w:pos="2880"/>
        </w:tabs>
        <w:ind w:left="3838" w:hanging="958"/>
      </w:pPr>
      <w:rPr>
        <w:rFonts w:hint="default"/>
      </w:rPr>
    </w:lvl>
  </w:abstractNum>
  <w:abstractNum w:abstractNumId="22" w15:restartNumberingAfterBreak="0">
    <w:nsid w:val="7C651460"/>
    <w:multiLevelType w:val="multilevel"/>
    <w:tmpl w:val="DCAA060D"/>
    <w:name w:val="AnnexHeading"/>
    <w:lvl w:ilvl="0">
      <w:start w:val="1"/>
      <w:numFmt w:val="decimal"/>
      <w:lvlText w:val="%1."/>
      <w:lvlJc w:val="left"/>
      <w:pPr>
        <w:tabs>
          <w:tab w:val="num" w:pos="397"/>
        </w:tabs>
        <w:ind w:left="397" w:hanging="397"/>
      </w:pPr>
      <w:rPr>
        <w:rFonts w:hint="default"/>
      </w:rPr>
    </w:lvl>
    <w:lvl w:ilvl="1">
      <w:start w:val="1"/>
      <w:numFmt w:val="decimal"/>
      <w:lvlText w:val="%1."/>
      <w:lvlJc w:val="left"/>
      <w:pPr>
        <w:tabs>
          <w:tab w:val="num" w:pos="397"/>
        </w:tabs>
        <w:ind w:left="397" w:hanging="397"/>
      </w:pPr>
      <w:rPr>
        <w:rFonts w:hint="default"/>
      </w:rPr>
    </w:lvl>
    <w:lvl w:ilvl="2">
      <w:start w:val="1"/>
      <w:numFmt w:val="decimal"/>
      <w:lvlText w:val="%1."/>
      <w:lvlJc w:val="left"/>
      <w:pPr>
        <w:tabs>
          <w:tab w:val="num" w:pos="397"/>
        </w:tabs>
        <w:ind w:left="397" w:hanging="397"/>
      </w:pPr>
      <w:rPr>
        <w:rFonts w:hint="default"/>
      </w:rPr>
    </w:lvl>
    <w:lvl w:ilvl="3">
      <w:start w:val="1"/>
      <w:numFmt w:val="decimal"/>
      <w:lvlText w:val="%1."/>
      <w:lvlJc w:val="left"/>
      <w:pPr>
        <w:tabs>
          <w:tab w:val="num" w:pos="397"/>
        </w:tabs>
        <w:ind w:left="397" w:hanging="397"/>
      </w:pPr>
      <w:rPr>
        <w:rFonts w:hint="default"/>
      </w:rPr>
    </w:lvl>
    <w:lvl w:ilvl="4">
      <w:start w:val="1"/>
      <w:numFmt w:val="decimal"/>
      <w:lvlText w:val="%1."/>
      <w:lvlJc w:val="left"/>
      <w:pPr>
        <w:tabs>
          <w:tab w:val="num" w:pos="397"/>
        </w:tabs>
        <w:ind w:left="397" w:hanging="397"/>
      </w:pPr>
      <w:rPr>
        <w:rFonts w:hint="default"/>
      </w:rPr>
    </w:lvl>
    <w:lvl w:ilvl="5">
      <w:start w:val="1"/>
      <w:numFmt w:val="decimal"/>
      <w:lvlText w:val="%1."/>
      <w:lvlJc w:val="left"/>
      <w:pPr>
        <w:tabs>
          <w:tab w:val="num" w:pos="397"/>
        </w:tabs>
        <w:ind w:left="397" w:hanging="397"/>
      </w:pPr>
      <w:rPr>
        <w:rFonts w:hint="default"/>
      </w:rPr>
    </w:lvl>
    <w:lvl w:ilvl="6">
      <w:start w:val="1"/>
      <w:numFmt w:val="decimal"/>
      <w:lvlText w:val="%1."/>
      <w:lvlJc w:val="left"/>
      <w:pPr>
        <w:tabs>
          <w:tab w:val="num" w:pos="397"/>
        </w:tabs>
        <w:ind w:left="397" w:hanging="397"/>
      </w:pPr>
      <w:rPr>
        <w:rFonts w:hint="default"/>
      </w:rPr>
    </w:lvl>
    <w:lvl w:ilvl="7">
      <w:start w:val="1"/>
      <w:numFmt w:val="decimal"/>
      <w:lvlText w:val="%1."/>
      <w:lvlJc w:val="left"/>
      <w:pPr>
        <w:tabs>
          <w:tab w:val="num" w:pos="397"/>
        </w:tabs>
        <w:ind w:left="397" w:hanging="397"/>
      </w:pPr>
      <w:rPr>
        <w:rFonts w:hint="default"/>
      </w:rPr>
    </w:lvl>
    <w:lvl w:ilvl="8">
      <w:start w:val="1"/>
      <w:numFmt w:val="decimal"/>
      <w:lvlText w:val="%1."/>
      <w:lvlJc w:val="left"/>
      <w:pPr>
        <w:tabs>
          <w:tab w:val="num" w:pos="397"/>
        </w:tabs>
        <w:ind w:left="397" w:hanging="397"/>
      </w:pPr>
      <w:rPr>
        <w:rFonts w:hint="default"/>
      </w:rPr>
    </w:lvl>
  </w:abstractNum>
  <w:abstractNum w:abstractNumId="23" w15:restartNumberingAfterBreak="0">
    <w:nsid w:val="7D7719FF"/>
    <w:multiLevelType w:val="hybridMultilevel"/>
    <w:tmpl w:val="E5688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7"/>
  </w:num>
  <w:num w:numId="4">
    <w:abstractNumId w:val="13"/>
  </w:num>
  <w:num w:numId="5">
    <w:abstractNumId w:val="9"/>
  </w:num>
  <w:num w:numId="6">
    <w:abstractNumId w:val="4"/>
  </w:num>
  <w:num w:numId="7">
    <w:abstractNumId w:val="3"/>
  </w:num>
  <w:num w:numId="8">
    <w:abstractNumId w:val="2"/>
  </w:num>
  <w:num w:numId="9">
    <w:abstractNumId w:val="14"/>
  </w:num>
  <w:num w:numId="10">
    <w:abstractNumId w:val="5"/>
  </w:num>
  <w:num w:numId="11">
    <w:abstractNumId w:val="1"/>
  </w:num>
  <w:num w:numId="12">
    <w:abstractNumId w:val="20"/>
  </w:num>
  <w:num w:numId="13">
    <w:abstractNumId w:val="18"/>
  </w:num>
  <w:num w:numId="14">
    <w:abstractNumId w:val="12"/>
  </w:num>
  <w:num w:numId="15">
    <w:abstractNumId w:val="7"/>
  </w:num>
  <w:num w:numId="16">
    <w:abstractNumId w:val="11"/>
  </w:num>
  <w:num w:numId="17">
    <w:abstractNumId w:val="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23"/>
  </w:num>
  <w:num w:numId="23">
    <w:abstractNumId w:val="1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1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9">
    <w:abstractNumId w:val="6"/>
  </w:num>
  <w:num w:numId="30">
    <w:abstractNumId w:val="15"/>
  </w:num>
  <w:num w:numId="31">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5">
    <w:abstractNumId w:val="21"/>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7">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8">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1">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3">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4">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de-DE"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EUROLOOK"/>
  </w:docVars>
  <w:rsids>
    <w:rsidRoot w:val="00676D97"/>
    <w:rsid w:val="00004873"/>
    <w:rsid w:val="000106E9"/>
    <w:rsid w:val="00016D18"/>
    <w:rsid w:val="00017BB1"/>
    <w:rsid w:val="00020AE3"/>
    <w:rsid w:val="00020BC3"/>
    <w:rsid w:val="000227BE"/>
    <w:rsid w:val="00026B0E"/>
    <w:rsid w:val="00031CF9"/>
    <w:rsid w:val="00032070"/>
    <w:rsid w:val="00036186"/>
    <w:rsid w:val="00037DC5"/>
    <w:rsid w:val="00043188"/>
    <w:rsid w:val="0004508C"/>
    <w:rsid w:val="00046639"/>
    <w:rsid w:val="00047130"/>
    <w:rsid w:val="000501F0"/>
    <w:rsid w:val="00052248"/>
    <w:rsid w:val="000538C7"/>
    <w:rsid w:val="000544F4"/>
    <w:rsid w:val="00062FBF"/>
    <w:rsid w:val="000648D4"/>
    <w:rsid w:val="000650B0"/>
    <w:rsid w:val="00071DAE"/>
    <w:rsid w:val="0008193F"/>
    <w:rsid w:val="000840DE"/>
    <w:rsid w:val="000873A2"/>
    <w:rsid w:val="00090F27"/>
    <w:rsid w:val="000936EA"/>
    <w:rsid w:val="0009498A"/>
    <w:rsid w:val="000973EA"/>
    <w:rsid w:val="000A05E7"/>
    <w:rsid w:val="000A52AD"/>
    <w:rsid w:val="000A6D0A"/>
    <w:rsid w:val="000A70D0"/>
    <w:rsid w:val="000B0FEA"/>
    <w:rsid w:val="000B3E05"/>
    <w:rsid w:val="000B4DFB"/>
    <w:rsid w:val="000B5044"/>
    <w:rsid w:val="000B6A15"/>
    <w:rsid w:val="000B7A94"/>
    <w:rsid w:val="000C2820"/>
    <w:rsid w:val="000C2831"/>
    <w:rsid w:val="000C5464"/>
    <w:rsid w:val="000D140C"/>
    <w:rsid w:val="000D1F7C"/>
    <w:rsid w:val="000D56B0"/>
    <w:rsid w:val="000D7F52"/>
    <w:rsid w:val="000E1E12"/>
    <w:rsid w:val="000E3EC6"/>
    <w:rsid w:val="000E63C4"/>
    <w:rsid w:val="000E6AAF"/>
    <w:rsid w:val="000F077C"/>
    <w:rsid w:val="000F112E"/>
    <w:rsid w:val="000F4FB7"/>
    <w:rsid w:val="000F5C52"/>
    <w:rsid w:val="000F60B2"/>
    <w:rsid w:val="000F6B13"/>
    <w:rsid w:val="001013AB"/>
    <w:rsid w:val="00105BC5"/>
    <w:rsid w:val="00110B13"/>
    <w:rsid w:val="00113373"/>
    <w:rsid w:val="0013087F"/>
    <w:rsid w:val="00130EA8"/>
    <w:rsid w:val="00131D78"/>
    <w:rsid w:val="001320E8"/>
    <w:rsid w:val="00133C1C"/>
    <w:rsid w:val="0013462E"/>
    <w:rsid w:val="0013585E"/>
    <w:rsid w:val="001435E0"/>
    <w:rsid w:val="001445CA"/>
    <w:rsid w:val="001459FA"/>
    <w:rsid w:val="00150CB5"/>
    <w:rsid w:val="00152CE2"/>
    <w:rsid w:val="001650D2"/>
    <w:rsid w:val="00166D74"/>
    <w:rsid w:val="00172C98"/>
    <w:rsid w:val="00175DD8"/>
    <w:rsid w:val="00177E4C"/>
    <w:rsid w:val="001815D1"/>
    <w:rsid w:val="00181F0D"/>
    <w:rsid w:val="0018360C"/>
    <w:rsid w:val="0018474F"/>
    <w:rsid w:val="00184A0D"/>
    <w:rsid w:val="00185033"/>
    <w:rsid w:val="00187C7D"/>
    <w:rsid w:val="00193452"/>
    <w:rsid w:val="00194055"/>
    <w:rsid w:val="001955A0"/>
    <w:rsid w:val="00195B4D"/>
    <w:rsid w:val="001965F3"/>
    <w:rsid w:val="00197463"/>
    <w:rsid w:val="00197580"/>
    <w:rsid w:val="001A083D"/>
    <w:rsid w:val="001A1A7B"/>
    <w:rsid w:val="001A26E5"/>
    <w:rsid w:val="001A45A1"/>
    <w:rsid w:val="001A50EA"/>
    <w:rsid w:val="001A74B3"/>
    <w:rsid w:val="001B389C"/>
    <w:rsid w:val="001B62EF"/>
    <w:rsid w:val="001B7373"/>
    <w:rsid w:val="001B7BBD"/>
    <w:rsid w:val="001C070C"/>
    <w:rsid w:val="001C2F16"/>
    <w:rsid w:val="001C6261"/>
    <w:rsid w:val="001D21FD"/>
    <w:rsid w:val="001D640C"/>
    <w:rsid w:val="001E14DE"/>
    <w:rsid w:val="001E2867"/>
    <w:rsid w:val="001E34E4"/>
    <w:rsid w:val="001E3A38"/>
    <w:rsid w:val="001E6BFD"/>
    <w:rsid w:val="001E7FA1"/>
    <w:rsid w:val="001F1E18"/>
    <w:rsid w:val="001F3181"/>
    <w:rsid w:val="001F3C04"/>
    <w:rsid w:val="001F3CB7"/>
    <w:rsid w:val="001F5D0A"/>
    <w:rsid w:val="001F6466"/>
    <w:rsid w:val="0020032C"/>
    <w:rsid w:val="00202152"/>
    <w:rsid w:val="002042FA"/>
    <w:rsid w:val="00211F68"/>
    <w:rsid w:val="002125C5"/>
    <w:rsid w:val="00212982"/>
    <w:rsid w:val="00217B05"/>
    <w:rsid w:val="002215FD"/>
    <w:rsid w:val="00225073"/>
    <w:rsid w:val="00225598"/>
    <w:rsid w:val="002307F9"/>
    <w:rsid w:val="002317B4"/>
    <w:rsid w:val="00232F5A"/>
    <w:rsid w:val="002336ED"/>
    <w:rsid w:val="002348EF"/>
    <w:rsid w:val="00235536"/>
    <w:rsid w:val="00237AE9"/>
    <w:rsid w:val="002419D3"/>
    <w:rsid w:val="0024273B"/>
    <w:rsid w:val="002433D5"/>
    <w:rsid w:val="0024590C"/>
    <w:rsid w:val="0024624E"/>
    <w:rsid w:val="002472E2"/>
    <w:rsid w:val="00253CDC"/>
    <w:rsid w:val="00256B52"/>
    <w:rsid w:val="0026165D"/>
    <w:rsid w:val="0026342D"/>
    <w:rsid w:val="002666FF"/>
    <w:rsid w:val="00266BCA"/>
    <w:rsid w:val="002674ED"/>
    <w:rsid w:val="002720F0"/>
    <w:rsid w:val="00272ADE"/>
    <w:rsid w:val="00277547"/>
    <w:rsid w:val="002812D9"/>
    <w:rsid w:val="00284C3A"/>
    <w:rsid w:val="00293018"/>
    <w:rsid w:val="0029396E"/>
    <w:rsid w:val="00294BCC"/>
    <w:rsid w:val="0029536C"/>
    <w:rsid w:val="00295B2A"/>
    <w:rsid w:val="002A118D"/>
    <w:rsid w:val="002A1F7C"/>
    <w:rsid w:val="002A320D"/>
    <w:rsid w:val="002B01A2"/>
    <w:rsid w:val="002B1165"/>
    <w:rsid w:val="002B2223"/>
    <w:rsid w:val="002B6D5F"/>
    <w:rsid w:val="002B7416"/>
    <w:rsid w:val="002C1A66"/>
    <w:rsid w:val="002C534D"/>
    <w:rsid w:val="002C5AB8"/>
    <w:rsid w:val="002C6F2F"/>
    <w:rsid w:val="002C7C2E"/>
    <w:rsid w:val="002C7CF6"/>
    <w:rsid w:val="002D05EA"/>
    <w:rsid w:val="002D3A80"/>
    <w:rsid w:val="002D7921"/>
    <w:rsid w:val="002E0F64"/>
    <w:rsid w:val="002E139A"/>
    <w:rsid w:val="002E1E5E"/>
    <w:rsid w:val="002E757A"/>
    <w:rsid w:val="002F1097"/>
    <w:rsid w:val="002F4E41"/>
    <w:rsid w:val="003049F8"/>
    <w:rsid w:val="00304FDE"/>
    <w:rsid w:val="0031102F"/>
    <w:rsid w:val="003148EA"/>
    <w:rsid w:val="00327BF0"/>
    <w:rsid w:val="00333C80"/>
    <w:rsid w:val="00336D44"/>
    <w:rsid w:val="003406BB"/>
    <w:rsid w:val="00341D68"/>
    <w:rsid w:val="00347B57"/>
    <w:rsid w:val="00352764"/>
    <w:rsid w:val="00353977"/>
    <w:rsid w:val="0035454B"/>
    <w:rsid w:val="0035474E"/>
    <w:rsid w:val="00355811"/>
    <w:rsid w:val="00355D54"/>
    <w:rsid w:val="00357DFC"/>
    <w:rsid w:val="00360671"/>
    <w:rsid w:val="00363CB0"/>
    <w:rsid w:val="00375FBB"/>
    <w:rsid w:val="003771D5"/>
    <w:rsid w:val="003854C1"/>
    <w:rsid w:val="00385DDA"/>
    <w:rsid w:val="0038626F"/>
    <w:rsid w:val="003879DF"/>
    <w:rsid w:val="0039068C"/>
    <w:rsid w:val="00391092"/>
    <w:rsid w:val="00392A26"/>
    <w:rsid w:val="00396C35"/>
    <w:rsid w:val="003A0357"/>
    <w:rsid w:val="003A4C68"/>
    <w:rsid w:val="003B0E06"/>
    <w:rsid w:val="003B27A2"/>
    <w:rsid w:val="003B3570"/>
    <w:rsid w:val="003B4819"/>
    <w:rsid w:val="003B59F2"/>
    <w:rsid w:val="003B7BA5"/>
    <w:rsid w:val="003C0DEE"/>
    <w:rsid w:val="003C40EC"/>
    <w:rsid w:val="003C5611"/>
    <w:rsid w:val="003C5EC2"/>
    <w:rsid w:val="003C7423"/>
    <w:rsid w:val="003C7CCD"/>
    <w:rsid w:val="003D0551"/>
    <w:rsid w:val="003D2199"/>
    <w:rsid w:val="003D272D"/>
    <w:rsid w:val="003D2730"/>
    <w:rsid w:val="003D4085"/>
    <w:rsid w:val="003D4A84"/>
    <w:rsid w:val="003D7A3C"/>
    <w:rsid w:val="003E4C39"/>
    <w:rsid w:val="003F254F"/>
    <w:rsid w:val="004001BF"/>
    <w:rsid w:val="00400545"/>
    <w:rsid w:val="004056B3"/>
    <w:rsid w:val="00414D6B"/>
    <w:rsid w:val="00414F6D"/>
    <w:rsid w:val="00420570"/>
    <w:rsid w:val="00421623"/>
    <w:rsid w:val="0042170E"/>
    <w:rsid w:val="00422B03"/>
    <w:rsid w:val="0042337C"/>
    <w:rsid w:val="00424D6B"/>
    <w:rsid w:val="00426C73"/>
    <w:rsid w:val="00431A71"/>
    <w:rsid w:val="00432121"/>
    <w:rsid w:val="00432821"/>
    <w:rsid w:val="00432AEE"/>
    <w:rsid w:val="00432B03"/>
    <w:rsid w:val="0043562D"/>
    <w:rsid w:val="004414E0"/>
    <w:rsid w:val="00447155"/>
    <w:rsid w:val="00447CD8"/>
    <w:rsid w:val="00451A64"/>
    <w:rsid w:val="00453159"/>
    <w:rsid w:val="00454B08"/>
    <w:rsid w:val="00456B32"/>
    <w:rsid w:val="00461850"/>
    <w:rsid w:val="00462F92"/>
    <w:rsid w:val="00463C63"/>
    <w:rsid w:val="004714F6"/>
    <w:rsid w:val="00471856"/>
    <w:rsid w:val="00477028"/>
    <w:rsid w:val="0047782A"/>
    <w:rsid w:val="00481BD9"/>
    <w:rsid w:val="00484787"/>
    <w:rsid w:val="00485614"/>
    <w:rsid w:val="00486FCD"/>
    <w:rsid w:val="00492B40"/>
    <w:rsid w:val="00495166"/>
    <w:rsid w:val="004A160B"/>
    <w:rsid w:val="004A749F"/>
    <w:rsid w:val="004B10E6"/>
    <w:rsid w:val="004B2CE5"/>
    <w:rsid w:val="004B4991"/>
    <w:rsid w:val="004B55B8"/>
    <w:rsid w:val="004B6FBD"/>
    <w:rsid w:val="004C3EEF"/>
    <w:rsid w:val="004C4ED1"/>
    <w:rsid w:val="004C6E5C"/>
    <w:rsid w:val="004D2522"/>
    <w:rsid w:val="004D2594"/>
    <w:rsid w:val="004D27C7"/>
    <w:rsid w:val="004D3500"/>
    <w:rsid w:val="004D39BF"/>
    <w:rsid w:val="004D448C"/>
    <w:rsid w:val="004D5EE1"/>
    <w:rsid w:val="004D6C94"/>
    <w:rsid w:val="004E397E"/>
    <w:rsid w:val="004E3C51"/>
    <w:rsid w:val="004E6330"/>
    <w:rsid w:val="004E78B0"/>
    <w:rsid w:val="004E7F7D"/>
    <w:rsid w:val="004F265F"/>
    <w:rsid w:val="004F4976"/>
    <w:rsid w:val="004F7C0F"/>
    <w:rsid w:val="005053B8"/>
    <w:rsid w:val="00505864"/>
    <w:rsid w:val="005102DB"/>
    <w:rsid w:val="0051030B"/>
    <w:rsid w:val="00511BED"/>
    <w:rsid w:val="00511D84"/>
    <w:rsid w:val="005130AF"/>
    <w:rsid w:val="00513777"/>
    <w:rsid w:val="005145A0"/>
    <w:rsid w:val="005215AE"/>
    <w:rsid w:val="00525CE3"/>
    <w:rsid w:val="00525EE4"/>
    <w:rsid w:val="00526689"/>
    <w:rsid w:val="00526BF1"/>
    <w:rsid w:val="005304AD"/>
    <w:rsid w:val="005361DC"/>
    <w:rsid w:val="00542EC4"/>
    <w:rsid w:val="005446C5"/>
    <w:rsid w:val="00546014"/>
    <w:rsid w:val="0054790C"/>
    <w:rsid w:val="005507DE"/>
    <w:rsid w:val="00550DA7"/>
    <w:rsid w:val="00550DB0"/>
    <w:rsid w:val="00550DCE"/>
    <w:rsid w:val="00551D98"/>
    <w:rsid w:val="005542A6"/>
    <w:rsid w:val="005548EF"/>
    <w:rsid w:val="00556A94"/>
    <w:rsid w:val="00561BD5"/>
    <w:rsid w:val="00574F0A"/>
    <w:rsid w:val="005752B8"/>
    <w:rsid w:val="00576EBA"/>
    <w:rsid w:val="00581865"/>
    <w:rsid w:val="00581904"/>
    <w:rsid w:val="005869EF"/>
    <w:rsid w:val="005908F4"/>
    <w:rsid w:val="005962E8"/>
    <w:rsid w:val="0059645D"/>
    <w:rsid w:val="005967C5"/>
    <w:rsid w:val="005A1213"/>
    <w:rsid w:val="005A46F6"/>
    <w:rsid w:val="005A6DDB"/>
    <w:rsid w:val="005A6F68"/>
    <w:rsid w:val="005A717E"/>
    <w:rsid w:val="005A7FE6"/>
    <w:rsid w:val="005C25DB"/>
    <w:rsid w:val="005D11F5"/>
    <w:rsid w:val="005D4124"/>
    <w:rsid w:val="005D5E65"/>
    <w:rsid w:val="005E2FE7"/>
    <w:rsid w:val="005E340D"/>
    <w:rsid w:val="005E3E20"/>
    <w:rsid w:val="005E5A11"/>
    <w:rsid w:val="005E62A8"/>
    <w:rsid w:val="005E7CD2"/>
    <w:rsid w:val="00600073"/>
    <w:rsid w:val="00601E78"/>
    <w:rsid w:val="00602109"/>
    <w:rsid w:val="00605552"/>
    <w:rsid w:val="0060626F"/>
    <w:rsid w:val="00611043"/>
    <w:rsid w:val="00613B10"/>
    <w:rsid w:val="00614DE7"/>
    <w:rsid w:val="00616890"/>
    <w:rsid w:val="006211ED"/>
    <w:rsid w:val="0062504F"/>
    <w:rsid w:val="00625270"/>
    <w:rsid w:val="00626AFE"/>
    <w:rsid w:val="006278B9"/>
    <w:rsid w:val="00633A0B"/>
    <w:rsid w:val="0063596C"/>
    <w:rsid w:val="00636A57"/>
    <w:rsid w:val="0064295A"/>
    <w:rsid w:val="006472C9"/>
    <w:rsid w:val="006514B3"/>
    <w:rsid w:val="0066021C"/>
    <w:rsid w:val="00660F79"/>
    <w:rsid w:val="00662401"/>
    <w:rsid w:val="006631E7"/>
    <w:rsid w:val="006668AA"/>
    <w:rsid w:val="006732EB"/>
    <w:rsid w:val="00676D97"/>
    <w:rsid w:val="00680E43"/>
    <w:rsid w:val="00681B22"/>
    <w:rsid w:val="006823B6"/>
    <w:rsid w:val="0068294C"/>
    <w:rsid w:val="0068325F"/>
    <w:rsid w:val="00690CE5"/>
    <w:rsid w:val="00696E3B"/>
    <w:rsid w:val="00696FFE"/>
    <w:rsid w:val="006A19AE"/>
    <w:rsid w:val="006A7111"/>
    <w:rsid w:val="006B02E4"/>
    <w:rsid w:val="006B15B8"/>
    <w:rsid w:val="006B24C8"/>
    <w:rsid w:val="006B254D"/>
    <w:rsid w:val="006C1C28"/>
    <w:rsid w:val="006C23E7"/>
    <w:rsid w:val="006D2782"/>
    <w:rsid w:val="006D4011"/>
    <w:rsid w:val="006D4150"/>
    <w:rsid w:val="006D60B1"/>
    <w:rsid w:val="006E057A"/>
    <w:rsid w:val="006E245C"/>
    <w:rsid w:val="006E2891"/>
    <w:rsid w:val="006E44C3"/>
    <w:rsid w:val="006E67E8"/>
    <w:rsid w:val="006E6EF4"/>
    <w:rsid w:val="006F2B57"/>
    <w:rsid w:val="006F57AE"/>
    <w:rsid w:val="006F654A"/>
    <w:rsid w:val="007008DC"/>
    <w:rsid w:val="00704730"/>
    <w:rsid w:val="00705035"/>
    <w:rsid w:val="00720694"/>
    <w:rsid w:val="0072348E"/>
    <w:rsid w:val="00724B82"/>
    <w:rsid w:val="0072512F"/>
    <w:rsid w:val="00733662"/>
    <w:rsid w:val="00735F9F"/>
    <w:rsid w:val="0074009D"/>
    <w:rsid w:val="00741F6B"/>
    <w:rsid w:val="00742F1E"/>
    <w:rsid w:val="00743633"/>
    <w:rsid w:val="00744171"/>
    <w:rsid w:val="00744F3B"/>
    <w:rsid w:val="00746A7F"/>
    <w:rsid w:val="007520FC"/>
    <w:rsid w:val="00760FEC"/>
    <w:rsid w:val="00763AE5"/>
    <w:rsid w:val="0076670F"/>
    <w:rsid w:val="00770795"/>
    <w:rsid w:val="007716CA"/>
    <w:rsid w:val="0077188D"/>
    <w:rsid w:val="007733E8"/>
    <w:rsid w:val="00774112"/>
    <w:rsid w:val="00775D2A"/>
    <w:rsid w:val="00776569"/>
    <w:rsid w:val="007774CC"/>
    <w:rsid w:val="0078649F"/>
    <w:rsid w:val="00791769"/>
    <w:rsid w:val="0079475D"/>
    <w:rsid w:val="007A0FB0"/>
    <w:rsid w:val="007A2F39"/>
    <w:rsid w:val="007A50C9"/>
    <w:rsid w:val="007B1161"/>
    <w:rsid w:val="007B127B"/>
    <w:rsid w:val="007C3736"/>
    <w:rsid w:val="007C4CF7"/>
    <w:rsid w:val="007C51D9"/>
    <w:rsid w:val="007D2A2D"/>
    <w:rsid w:val="007D3186"/>
    <w:rsid w:val="007D4A4A"/>
    <w:rsid w:val="007D6686"/>
    <w:rsid w:val="007E352B"/>
    <w:rsid w:val="007E357F"/>
    <w:rsid w:val="007E40ED"/>
    <w:rsid w:val="007E69A0"/>
    <w:rsid w:val="007F5A69"/>
    <w:rsid w:val="007F5F25"/>
    <w:rsid w:val="007F7B0F"/>
    <w:rsid w:val="00802C7D"/>
    <w:rsid w:val="00820330"/>
    <w:rsid w:val="00824B2C"/>
    <w:rsid w:val="00826885"/>
    <w:rsid w:val="00833B94"/>
    <w:rsid w:val="00834C9F"/>
    <w:rsid w:val="008365E6"/>
    <w:rsid w:val="008402EE"/>
    <w:rsid w:val="008405FA"/>
    <w:rsid w:val="008408AA"/>
    <w:rsid w:val="00841585"/>
    <w:rsid w:val="008430D5"/>
    <w:rsid w:val="00850BC0"/>
    <w:rsid w:val="00852440"/>
    <w:rsid w:val="0085360C"/>
    <w:rsid w:val="00853B28"/>
    <w:rsid w:val="00855445"/>
    <w:rsid w:val="0085556B"/>
    <w:rsid w:val="00855919"/>
    <w:rsid w:val="0085677E"/>
    <w:rsid w:val="008627C2"/>
    <w:rsid w:val="00863843"/>
    <w:rsid w:val="00863C72"/>
    <w:rsid w:val="00863CA0"/>
    <w:rsid w:val="00865B8A"/>
    <w:rsid w:val="00871373"/>
    <w:rsid w:val="00871A29"/>
    <w:rsid w:val="0087212A"/>
    <w:rsid w:val="00872FF9"/>
    <w:rsid w:val="008766C8"/>
    <w:rsid w:val="0087748B"/>
    <w:rsid w:val="008843C3"/>
    <w:rsid w:val="00893259"/>
    <w:rsid w:val="008960BB"/>
    <w:rsid w:val="008A02D6"/>
    <w:rsid w:val="008A1C4D"/>
    <w:rsid w:val="008A459E"/>
    <w:rsid w:val="008A539B"/>
    <w:rsid w:val="008A71BF"/>
    <w:rsid w:val="008B213D"/>
    <w:rsid w:val="008B2D0F"/>
    <w:rsid w:val="008B451C"/>
    <w:rsid w:val="008B510F"/>
    <w:rsid w:val="008C3991"/>
    <w:rsid w:val="008C5783"/>
    <w:rsid w:val="008D0ACC"/>
    <w:rsid w:val="008D14D0"/>
    <w:rsid w:val="008D487F"/>
    <w:rsid w:val="008D509E"/>
    <w:rsid w:val="008D54A3"/>
    <w:rsid w:val="008D6336"/>
    <w:rsid w:val="008D79EA"/>
    <w:rsid w:val="008E0F63"/>
    <w:rsid w:val="008E10FE"/>
    <w:rsid w:val="008E1433"/>
    <w:rsid w:val="008F1CD6"/>
    <w:rsid w:val="008F4EDA"/>
    <w:rsid w:val="008F6BAB"/>
    <w:rsid w:val="008F6EA3"/>
    <w:rsid w:val="008F7071"/>
    <w:rsid w:val="00901F61"/>
    <w:rsid w:val="009023D4"/>
    <w:rsid w:val="00907936"/>
    <w:rsid w:val="00911B95"/>
    <w:rsid w:val="009168D8"/>
    <w:rsid w:val="00917548"/>
    <w:rsid w:val="009179DB"/>
    <w:rsid w:val="00921C99"/>
    <w:rsid w:val="00922158"/>
    <w:rsid w:val="0092216C"/>
    <w:rsid w:val="009240F3"/>
    <w:rsid w:val="009254E3"/>
    <w:rsid w:val="009301D6"/>
    <w:rsid w:val="009307EA"/>
    <w:rsid w:val="00932138"/>
    <w:rsid w:val="00946D3C"/>
    <w:rsid w:val="0094794B"/>
    <w:rsid w:val="00953639"/>
    <w:rsid w:val="00954BBB"/>
    <w:rsid w:val="009571E2"/>
    <w:rsid w:val="00957FA7"/>
    <w:rsid w:val="00964D79"/>
    <w:rsid w:val="00972611"/>
    <w:rsid w:val="0097323E"/>
    <w:rsid w:val="009810D8"/>
    <w:rsid w:val="00981D44"/>
    <w:rsid w:val="009837DF"/>
    <w:rsid w:val="00985B75"/>
    <w:rsid w:val="00993410"/>
    <w:rsid w:val="00993B25"/>
    <w:rsid w:val="009941E3"/>
    <w:rsid w:val="009A006F"/>
    <w:rsid w:val="009A156A"/>
    <w:rsid w:val="009A3317"/>
    <w:rsid w:val="009A552A"/>
    <w:rsid w:val="009A5730"/>
    <w:rsid w:val="009A5C00"/>
    <w:rsid w:val="009A704C"/>
    <w:rsid w:val="009A75FB"/>
    <w:rsid w:val="009B1A2A"/>
    <w:rsid w:val="009B2676"/>
    <w:rsid w:val="009C0741"/>
    <w:rsid w:val="009C0AB3"/>
    <w:rsid w:val="009C5B60"/>
    <w:rsid w:val="009D0712"/>
    <w:rsid w:val="009D0C45"/>
    <w:rsid w:val="009D2F84"/>
    <w:rsid w:val="009D33F7"/>
    <w:rsid w:val="009D6568"/>
    <w:rsid w:val="009E11F7"/>
    <w:rsid w:val="009E4699"/>
    <w:rsid w:val="009E7A81"/>
    <w:rsid w:val="009F120A"/>
    <w:rsid w:val="009F146C"/>
    <w:rsid w:val="009F4AAD"/>
    <w:rsid w:val="009F52E5"/>
    <w:rsid w:val="009F614B"/>
    <w:rsid w:val="00A03FA8"/>
    <w:rsid w:val="00A043EF"/>
    <w:rsid w:val="00A07847"/>
    <w:rsid w:val="00A20237"/>
    <w:rsid w:val="00A22940"/>
    <w:rsid w:val="00A248D9"/>
    <w:rsid w:val="00A33969"/>
    <w:rsid w:val="00A5129A"/>
    <w:rsid w:val="00A529AF"/>
    <w:rsid w:val="00A5383C"/>
    <w:rsid w:val="00A6157A"/>
    <w:rsid w:val="00A63A5F"/>
    <w:rsid w:val="00A640A5"/>
    <w:rsid w:val="00A672DA"/>
    <w:rsid w:val="00A75238"/>
    <w:rsid w:val="00A77131"/>
    <w:rsid w:val="00A8020B"/>
    <w:rsid w:val="00A80B7A"/>
    <w:rsid w:val="00A839A9"/>
    <w:rsid w:val="00A92738"/>
    <w:rsid w:val="00A94438"/>
    <w:rsid w:val="00A944C0"/>
    <w:rsid w:val="00AA00F9"/>
    <w:rsid w:val="00AA28D6"/>
    <w:rsid w:val="00AA2C81"/>
    <w:rsid w:val="00AA55BA"/>
    <w:rsid w:val="00AA6824"/>
    <w:rsid w:val="00AC4D3C"/>
    <w:rsid w:val="00AD2FAA"/>
    <w:rsid w:val="00AD3351"/>
    <w:rsid w:val="00AD7CAA"/>
    <w:rsid w:val="00AE197E"/>
    <w:rsid w:val="00AE1FAC"/>
    <w:rsid w:val="00AE380C"/>
    <w:rsid w:val="00AF0A37"/>
    <w:rsid w:val="00AF1E71"/>
    <w:rsid w:val="00AF2CA2"/>
    <w:rsid w:val="00B0042F"/>
    <w:rsid w:val="00B02446"/>
    <w:rsid w:val="00B03D1F"/>
    <w:rsid w:val="00B07462"/>
    <w:rsid w:val="00B11358"/>
    <w:rsid w:val="00B13E82"/>
    <w:rsid w:val="00B15361"/>
    <w:rsid w:val="00B17342"/>
    <w:rsid w:val="00B176F7"/>
    <w:rsid w:val="00B30E96"/>
    <w:rsid w:val="00B34B5F"/>
    <w:rsid w:val="00B3553B"/>
    <w:rsid w:val="00B364AF"/>
    <w:rsid w:val="00B36B34"/>
    <w:rsid w:val="00B410E6"/>
    <w:rsid w:val="00B45EBB"/>
    <w:rsid w:val="00B53A31"/>
    <w:rsid w:val="00B546AA"/>
    <w:rsid w:val="00B55511"/>
    <w:rsid w:val="00B57FF3"/>
    <w:rsid w:val="00B61732"/>
    <w:rsid w:val="00B617A2"/>
    <w:rsid w:val="00B7032A"/>
    <w:rsid w:val="00B76827"/>
    <w:rsid w:val="00B8214E"/>
    <w:rsid w:val="00B87AEA"/>
    <w:rsid w:val="00B979F5"/>
    <w:rsid w:val="00BA287A"/>
    <w:rsid w:val="00BA5876"/>
    <w:rsid w:val="00BA6473"/>
    <w:rsid w:val="00BB3742"/>
    <w:rsid w:val="00BB76CE"/>
    <w:rsid w:val="00BC1077"/>
    <w:rsid w:val="00BD2F9F"/>
    <w:rsid w:val="00BD3AAE"/>
    <w:rsid w:val="00BD54A0"/>
    <w:rsid w:val="00BD597D"/>
    <w:rsid w:val="00BD5CE8"/>
    <w:rsid w:val="00BE2A2B"/>
    <w:rsid w:val="00BE2E0A"/>
    <w:rsid w:val="00BE64F8"/>
    <w:rsid w:val="00BF08C6"/>
    <w:rsid w:val="00BF1D81"/>
    <w:rsid w:val="00BF2C96"/>
    <w:rsid w:val="00BF4910"/>
    <w:rsid w:val="00BF4FD0"/>
    <w:rsid w:val="00C03EA2"/>
    <w:rsid w:val="00C042B4"/>
    <w:rsid w:val="00C1110A"/>
    <w:rsid w:val="00C13E9D"/>
    <w:rsid w:val="00C16CA8"/>
    <w:rsid w:val="00C207BF"/>
    <w:rsid w:val="00C26035"/>
    <w:rsid w:val="00C30F0A"/>
    <w:rsid w:val="00C3210A"/>
    <w:rsid w:val="00C339AC"/>
    <w:rsid w:val="00C341F8"/>
    <w:rsid w:val="00C42E66"/>
    <w:rsid w:val="00C44A6D"/>
    <w:rsid w:val="00C47070"/>
    <w:rsid w:val="00C55AB9"/>
    <w:rsid w:val="00C67434"/>
    <w:rsid w:val="00C761E2"/>
    <w:rsid w:val="00C76B58"/>
    <w:rsid w:val="00C80C68"/>
    <w:rsid w:val="00C853C8"/>
    <w:rsid w:val="00C85E14"/>
    <w:rsid w:val="00C86597"/>
    <w:rsid w:val="00CA0041"/>
    <w:rsid w:val="00CA360A"/>
    <w:rsid w:val="00CA57D8"/>
    <w:rsid w:val="00CB006E"/>
    <w:rsid w:val="00CB33D3"/>
    <w:rsid w:val="00CB5C30"/>
    <w:rsid w:val="00CB60A1"/>
    <w:rsid w:val="00CC0BE6"/>
    <w:rsid w:val="00CC1BE5"/>
    <w:rsid w:val="00CC4F14"/>
    <w:rsid w:val="00CC6837"/>
    <w:rsid w:val="00CD2216"/>
    <w:rsid w:val="00CE30B3"/>
    <w:rsid w:val="00CE3E54"/>
    <w:rsid w:val="00CF4F74"/>
    <w:rsid w:val="00D000DB"/>
    <w:rsid w:val="00D02E5B"/>
    <w:rsid w:val="00D03FC3"/>
    <w:rsid w:val="00D04F4D"/>
    <w:rsid w:val="00D05980"/>
    <w:rsid w:val="00D068E2"/>
    <w:rsid w:val="00D15169"/>
    <w:rsid w:val="00D20AA9"/>
    <w:rsid w:val="00D22C22"/>
    <w:rsid w:val="00D34658"/>
    <w:rsid w:val="00D34DF0"/>
    <w:rsid w:val="00D35C32"/>
    <w:rsid w:val="00D37B91"/>
    <w:rsid w:val="00D424C9"/>
    <w:rsid w:val="00D5064F"/>
    <w:rsid w:val="00D51BE9"/>
    <w:rsid w:val="00D5634B"/>
    <w:rsid w:val="00D6402E"/>
    <w:rsid w:val="00D6474A"/>
    <w:rsid w:val="00D66D1F"/>
    <w:rsid w:val="00D70025"/>
    <w:rsid w:val="00D81B08"/>
    <w:rsid w:val="00D82E4C"/>
    <w:rsid w:val="00D900BF"/>
    <w:rsid w:val="00D90C5A"/>
    <w:rsid w:val="00D9525E"/>
    <w:rsid w:val="00D95D84"/>
    <w:rsid w:val="00D96D75"/>
    <w:rsid w:val="00D97EA4"/>
    <w:rsid w:val="00DA0100"/>
    <w:rsid w:val="00DA29E7"/>
    <w:rsid w:val="00DA334F"/>
    <w:rsid w:val="00DB02D0"/>
    <w:rsid w:val="00DB0A35"/>
    <w:rsid w:val="00DB3C8D"/>
    <w:rsid w:val="00DC1254"/>
    <w:rsid w:val="00DC1354"/>
    <w:rsid w:val="00DC175E"/>
    <w:rsid w:val="00DC5792"/>
    <w:rsid w:val="00DD2CED"/>
    <w:rsid w:val="00E02972"/>
    <w:rsid w:val="00E11092"/>
    <w:rsid w:val="00E11D13"/>
    <w:rsid w:val="00E12222"/>
    <w:rsid w:val="00E1226C"/>
    <w:rsid w:val="00E14D8B"/>
    <w:rsid w:val="00E15E5E"/>
    <w:rsid w:val="00E176BF"/>
    <w:rsid w:val="00E17DC7"/>
    <w:rsid w:val="00E208C8"/>
    <w:rsid w:val="00E229C7"/>
    <w:rsid w:val="00E234BB"/>
    <w:rsid w:val="00E24AC3"/>
    <w:rsid w:val="00E24ED6"/>
    <w:rsid w:val="00E26432"/>
    <w:rsid w:val="00E30D20"/>
    <w:rsid w:val="00E32319"/>
    <w:rsid w:val="00E32876"/>
    <w:rsid w:val="00E32900"/>
    <w:rsid w:val="00E3300D"/>
    <w:rsid w:val="00E33A2F"/>
    <w:rsid w:val="00E34A51"/>
    <w:rsid w:val="00E356D7"/>
    <w:rsid w:val="00E41D9A"/>
    <w:rsid w:val="00E43C63"/>
    <w:rsid w:val="00E466C3"/>
    <w:rsid w:val="00E501D0"/>
    <w:rsid w:val="00E52004"/>
    <w:rsid w:val="00E57D8C"/>
    <w:rsid w:val="00E7732B"/>
    <w:rsid w:val="00E80446"/>
    <w:rsid w:val="00E81237"/>
    <w:rsid w:val="00E82F2A"/>
    <w:rsid w:val="00E84D87"/>
    <w:rsid w:val="00E854C5"/>
    <w:rsid w:val="00E859AC"/>
    <w:rsid w:val="00E86B6A"/>
    <w:rsid w:val="00E87769"/>
    <w:rsid w:val="00E97422"/>
    <w:rsid w:val="00EA4B25"/>
    <w:rsid w:val="00EA56FA"/>
    <w:rsid w:val="00EA7CD3"/>
    <w:rsid w:val="00EB164C"/>
    <w:rsid w:val="00EB46B2"/>
    <w:rsid w:val="00EB6557"/>
    <w:rsid w:val="00EB6A3B"/>
    <w:rsid w:val="00EB7D64"/>
    <w:rsid w:val="00EC3BDB"/>
    <w:rsid w:val="00EC505D"/>
    <w:rsid w:val="00ED08B6"/>
    <w:rsid w:val="00ED0B7C"/>
    <w:rsid w:val="00ED1450"/>
    <w:rsid w:val="00ED2226"/>
    <w:rsid w:val="00ED7CC5"/>
    <w:rsid w:val="00EE1743"/>
    <w:rsid w:val="00EE25F3"/>
    <w:rsid w:val="00EE4E86"/>
    <w:rsid w:val="00EE6AAE"/>
    <w:rsid w:val="00EE702B"/>
    <w:rsid w:val="00EE7B01"/>
    <w:rsid w:val="00EF1A43"/>
    <w:rsid w:val="00EF1B7E"/>
    <w:rsid w:val="00F01E97"/>
    <w:rsid w:val="00F116A0"/>
    <w:rsid w:val="00F133CC"/>
    <w:rsid w:val="00F1599B"/>
    <w:rsid w:val="00F16308"/>
    <w:rsid w:val="00F22DDF"/>
    <w:rsid w:val="00F2458B"/>
    <w:rsid w:val="00F25D44"/>
    <w:rsid w:val="00F25FE7"/>
    <w:rsid w:val="00F33B6C"/>
    <w:rsid w:val="00F40744"/>
    <w:rsid w:val="00F44BE4"/>
    <w:rsid w:val="00F45559"/>
    <w:rsid w:val="00F45D08"/>
    <w:rsid w:val="00F511A7"/>
    <w:rsid w:val="00F54379"/>
    <w:rsid w:val="00F56876"/>
    <w:rsid w:val="00F6070A"/>
    <w:rsid w:val="00F64DD2"/>
    <w:rsid w:val="00F67FE9"/>
    <w:rsid w:val="00F70A90"/>
    <w:rsid w:val="00F710F7"/>
    <w:rsid w:val="00F80F0D"/>
    <w:rsid w:val="00F84231"/>
    <w:rsid w:val="00F92447"/>
    <w:rsid w:val="00FA2DFF"/>
    <w:rsid w:val="00FA556D"/>
    <w:rsid w:val="00FA7ED2"/>
    <w:rsid w:val="00FB0FFD"/>
    <w:rsid w:val="00FB142A"/>
    <w:rsid w:val="00FB6161"/>
    <w:rsid w:val="00FB739D"/>
    <w:rsid w:val="00FC034D"/>
    <w:rsid w:val="00FC6C8F"/>
    <w:rsid w:val="00FD1E98"/>
    <w:rsid w:val="00FD2770"/>
    <w:rsid w:val="00FD32A5"/>
    <w:rsid w:val="00FD3D14"/>
    <w:rsid w:val="00FD590C"/>
    <w:rsid w:val="00FD5CBD"/>
    <w:rsid w:val="00FE106F"/>
    <w:rsid w:val="00FE30F5"/>
    <w:rsid w:val="00FE4D1F"/>
    <w:rsid w:val="00FE6ADD"/>
    <w:rsid w:val="00FE769D"/>
    <w:rsid w:val="00FE7F99"/>
    <w:rsid w:val="00FF0873"/>
    <w:rsid w:val="00FF3039"/>
    <w:rsid w:val="00FF3D73"/>
    <w:rsid w:val="00FF5F9C"/>
    <w:rsid w:val="00FF6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A4A97AD"/>
  <w15:docId w15:val="{C26119AE-2FC7-44C1-96C3-3920FAF8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0" w:defUnhideWhenUsed="0" w:defQFormat="0" w:count="371">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2"/>
      </w:numPr>
      <w:spacing w:before="240"/>
      <w:outlineLvl w:val="0"/>
    </w:pPr>
    <w:rPr>
      <w:b/>
      <w:smallCaps/>
    </w:rPr>
  </w:style>
  <w:style w:type="paragraph" w:styleId="Heading2">
    <w:name w:val="heading 2"/>
    <w:basedOn w:val="Normal"/>
    <w:next w:val="Text2"/>
    <w:uiPriority w:val="90"/>
    <w:qFormat/>
    <w:pPr>
      <w:keepNext/>
      <w:numPr>
        <w:ilvl w:val="1"/>
        <w:numId w:val="2"/>
      </w:numPr>
      <w:outlineLvl w:val="1"/>
    </w:pPr>
    <w:rPr>
      <w:b/>
    </w:rPr>
  </w:style>
  <w:style w:type="paragraph" w:styleId="Heading3">
    <w:name w:val="heading 3"/>
    <w:basedOn w:val="Normal"/>
    <w:next w:val="Text3"/>
    <w:uiPriority w:val="90"/>
    <w:qFormat/>
    <w:pPr>
      <w:keepNext/>
      <w:numPr>
        <w:ilvl w:val="2"/>
        <w:numId w:val="2"/>
      </w:numPr>
      <w:outlineLvl w:val="2"/>
    </w:pPr>
    <w:rPr>
      <w:i/>
    </w:rPr>
  </w:style>
  <w:style w:type="paragraph" w:styleId="Heading4">
    <w:name w:val="heading 4"/>
    <w:basedOn w:val="Normal"/>
    <w:next w:val="Text4"/>
    <w:uiPriority w:val="90"/>
    <w:qFormat/>
    <w:pPr>
      <w:keepNext/>
      <w:numPr>
        <w:ilvl w:val="3"/>
        <w:numId w:val="2"/>
      </w:numPr>
      <w:outlineLvl w:val="3"/>
    </w:pPr>
  </w:style>
  <w:style w:type="paragraph" w:styleId="Heading5">
    <w:name w:val="heading 5"/>
    <w:basedOn w:val="Normal"/>
    <w:next w:val="Normal"/>
    <w:semiHidden/>
    <w:pPr>
      <w:keepNext/>
      <w:numPr>
        <w:ilvl w:val="4"/>
        <w:numId w:val="2"/>
      </w:numPr>
      <w:outlineLvl w:val="4"/>
    </w:pPr>
  </w:style>
  <w:style w:type="paragraph" w:styleId="Heading6">
    <w:name w:val="heading 6"/>
    <w:basedOn w:val="Normal"/>
    <w:next w:val="Normal"/>
    <w:semiHidden/>
    <w:pPr>
      <w:keepNext/>
      <w:numPr>
        <w:ilvl w:val="5"/>
        <w:numId w:val="2"/>
      </w:numPr>
      <w:outlineLvl w:val="5"/>
    </w:pPr>
  </w:style>
  <w:style w:type="paragraph" w:styleId="Heading7">
    <w:name w:val="heading 7"/>
    <w:basedOn w:val="Normal"/>
    <w:next w:val="Normal"/>
    <w:semiHidden/>
    <w:pPr>
      <w:keepNext/>
      <w:numPr>
        <w:ilvl w:val="6"/>
        <w:numId w:val="2"/>
      </w:numPr>
      <w:outlineLvl w:val="6"/>
    </w:pPr>
  </w:style>
  <w:style w:type="paragraph" w:styleId="Heading8">
    <w:name w:val="heading 8"/>
    <w:basedOn w:val="Normal"/>
    <w:next w:val="Normal"/>
    <w:semiHidden/>
    <w:pPr>
      <w:keepNext/>
      <w:numPr>
        <w:ilvl w:val="7"/>
        <w:numId w:val="2"/>
      </w:numPr>
      <w:outlineLvl w:val="7"/>
    </w:pPr>
  </w:style>
  <w:style w:type="paragraph" w:styleId="Heading9">
    <w:name w:val="heading 9"/>
    <w:basedOn w:val="Normal"/>
    <w:next w:val="Normal"/>
    <w:semiHidden/>
    <w:pPr>
      <w:keepNext/>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C8F6C"/>
    </w:rPr>
  </w:style>
  <w:style w:type="paragraph" w:customStyle="1" w:styleId="LegalNumPar3">
    <w:name w:val="LegalNumPar3"/>
    <w:basedOn w:val="Normal"/>
    <w:pPr>
      <w:numPr>
        <w:ilvl w:val="2"/>
        <w:numId w:val="1"/>
      </w:numPr>
      <w:spacing w:line="360" w:lineRule="auto"/>
      <w:jc w:val="left"/>
    </w:pPr>
  </w:style>
  <w:style w:type="paragraph" w:customStyle="1" w:styleId="LegalNumPar2">
    <w:name w:val="LegalNumPar2"/>
    <w:basedOn w:val="Normal"/>
    <w:pPr>
      <w:numPr>
        <w:ilvl w:val="1"/>
        <w:numId w:val="1"/>
      </w:numPr>
      <w:spacing w:line="360" w:lineRule="auto"/>
      <w:jc w:val="left"/>
    </w:pPr>
  </w:style>
  <w:style w:type="paragraph" w:customStyle="1" w:styleId="LegalNumPar">
    <w:name w:val="LegalNumPar"/>
    <w:basedOn w:val="Normal"/>
    <w:uiPriority w:val="90"/>
    <w:qFormat/>
    <w:pPr>
      <w:numPr>
        <w:numId w:val="1"/>
      </w:numPr>
      <w:spacing w:line="360" w:lineRule="auto"/>
      <w:jc w:val="left"/>
    </w:pPr>
  </w:style>
  <w:style w:type="paragraph" w:customStyle="1" w:styleId="Marking">
    <w:name w:val="Marking"/>
    <w:basedOn w:val="Normal"/>
    <w:pPr>
      <w:spacing w:line="276" w:lineRule="auto"/>
      <w:contextualSpacing/>
      <w:jc w:val="right"/>
    </w:pPr>
    <w:rPr>
      <w:sz w:val="28"/>
    </w:rPr>
  </w:style>
  <w:style w:type="paragraph" w:customStyle="1" w:styleId="ListNumber4Level4">
    <w:name w:val="List Number 4 (Level 4)"/>
    <w:basedOn w:val="Text4"/>
    <w:unhideWhenUsed/>
    <w:pPr>
      <w:numPr>
        <w:ilvl w:val="3"/>
        <w:numId w:val="12"/>
      </w:numPr>
    </w:pPr>
  </w:style>
  <w:style w:type="paragraph" w:customStyle="1" w:styleId="ListNumber4Level3">
    <w:name w:val="List Number 4 (Level 3)"/>
    <w:basedOn w:val="Text4"/>
    <w:unhideWhenUsed/>
    <w:pPr>
      <w:numPr>
        <w:ilvl w:val="2"/>
        <w:numId w:val="12"/>
      </w:numPr>
    </w:pPr>
  </w:style>
  <w:style w:type="paragraph" w:customStyle="1" w:styleId="ListNumber4Level2">
    <w:name w:val="List Number 4 (Level 2)"/>
    <w:basedOn w:val="Text4"/>
    <w:pPr>
      <w:numPr>
        <w:ilvl w:val="1"/>
        <w:numId w:val="12"/>
      </w:numPr>
    </w:pPr>
  </w:style>
  <w:style w:type="paragraph" w:styleId="ListNumber4">
    <w:name w:val="List Number 4"/>
    <w:basedOn w:val="Text4"/>
    <w:pPr>
      <w:numPr>
        <w:numId w:val="12"/>
      </w:numPr>
    </w:pPr>
  </w:style>
  <w:style w:type="paragraph" w:customStyle="1" w:styleId="ListNumber3Level4">
    <w:name w:val="List Number 3 (Level 4)"/>
    <w:basedOn w:val="Text3"/>
    <w:semiHidden/>
    <w:unhideWhenUsed/>
    <w:pPr>
      <w:numPr>
        <w:ilvl w:val="3"/>
        <w:numId w:val="11"/>
      </w:numPr>
    </w:pPr>
  </w:style>
  <w:style w:type="paragraph" w:customStyle="1" w:styleId="ListNumber3Level3">
    <w:name w:val="List Number 3 (Level 3)"/>
    <w:basedOn w:val="Text3"/>
    <w:semiHidden/>
    <w:unhideWhenUsed/>
    <w:pPr>
      <w:numPr>
        <w:ilvl w:val="2"/>
        <w:numId w:val="11"/>
      </w:numPr>
    </w:pPr>
  </w:style>
  <w:style w:type="paragraph" w:customStyle="1" w:styleId="ListNumber3Level2">
    <w:name w:val="List Number 3 (Level 2)"/>
    <w:basedOn w:val="Text3"/>
    <w:pPr>
      <w:numPr>
        <w:ilvl w:val="1"/>
        <w:numId w:val="11"/>
      </w:numPr>
    </w:pPr>
  </w:style>
  <w:style w:type="paragraph" w:styleId="ListNumber3">
    <w:name w:val="List Number 3"/>
    <w:basedOn w:val="Text3"/>
    <w:pPr>
      <w:numPr>
        <w:numId w:val="11"/>
      </w:numPr>
    </w:pPr>
  </w:style>
  <w:style w:type="paragraph" w:customStyle="1" w:styleId="ListNumber2Level4">
    <w:name w:val="List Number 2 (Level 4)"/>
    <w:basedOn w:val="Text2"/>
    <w:semiHidden/>
    <w:unhideWhenUsed/>
    <w:pPr>
      <w:numPr>
        <w:ilvl w:val="3"/>
        <w:numId w:val="10"/>
      </w:numPr>
    </w:pPr>
  </w:style>
  <w:style w:type="paragraph" w:customStyle="1" w:styleId="ListNumber2Level3">
    <w:name w:val="List Number 2 (Level 3)"/>
    <w:basedOn w:val="Text2"/>
    <w:semiHidden/>
    <w:unhideWhenUsed/>
    <w:pPr>
      <w:numPr>
        <w:ilvl w:val="2"/>
        <w:numId w:val="10"/>
      </w:numPr>
    </w:pPr>
  </w:style>
  <w:style w:type="paragraph" w:customStyle="1" w:styleId="ListNumber2Level2">
    <w:name w:val="List Number 2 (Level 2)"/>
    <w:basedOn w:val="Text2"/>
    <w:pPr>
      <w:numPr>
        <w:ilvl w:val="1"/>
        <w:numId w:val="10"/>
      </w:numPr>
    </w:pPr>
  </w:style>
  <w:style w:type="paragraph" w:styleId="ListNumber2">
    <w:name w:val="List Number 2"/>
    <w:basedOn w:val="Text2"/>
    <w:pPr>
      <w:numPr>
        <w:numId w:val="10"/>
      </w:numPr>
    </w:pPr>
  </w:style>
  <w:style w:type="paragraph" w:customStyle="1" w:styleId="ListNumber1Level4">
    <w:name w:val="List Number 1 (Level 4)"/>
    <w:basedOn w:val="Text1"/>
    <w:unhideWhenUsed/>
    <w:pPr>
      <w:numPr>
        <w:ilvl w:val="3"/>
        <w:numId w:val="9"/>
      </w:numPr>
    </w:pPr>
  </w:style>
  <w:style w:type="paragraph" w:customStyle="1" w:styleId="ListNumber1Level3">
    <w:name w:val="List Number 1 (Level 3)"/>
    <w:basedOn w:val="Text1"/>
    <w:unhideWhenUsed/>
    <w:pPr>
      <w:numPr>
        <w:ilvl w:val="2"/>
        <w:numId w:val="9"/>
      </w:numPr>
    </w:pPr>
  </w:style>
  <w:style w:type="paragraph" w:customStyle="1" w:styleId="ListNumber1Level2">
    <w:name w:val="List Number 1 (Level 2)"/>
    <w:basedOn w:val="Text1"/>
    <w:pPr>
      <w:numPr>
        <w:ilvl w:val="1"/>
        <w:numId w:val="9"/>
      </w:numPr>
    </w:pPr>
  </w:style>
  <w:style w:type="paragraph" w:customStyle="1" w:styleId="ListNumber1">
    <w:name w:val="List Number 1"/>
    <w:basedOn w:val="Text1"/>
    <w:pPr>
      <w:numPr>
        <w:numId w:val="9"/>
      </w:numPr>
    </w:pPr>
  </w:style>
  <w:style w:type="paragraph" w:customStyle="1" w:styleId="ListNumberLevel4">
    <w:name w:val="List Number (Level 4)"/>
    <w:basedOn w:val="Normal"/>
    <w:unhideWhenUsed/>
    <w:pPr>
      <w:numPr>
        <w:ilvl w:val="3"/>
        <w:numId w:val="8"/>
      </w:numPr>
    </w:pPr>
  </w:style>
  <w:style w:type="paragraph" w:customStyle="1" w:styleId="ListNumberLevel3">
    <w:name w:val="List Number (Level 3)"/>
    <w:basedOn w:val="Normal"/>
    <w:unhideWhenUsed/>
    <w:pPr>
      <w:numPr>
        <w:ilvl w:val="2"/>
        <w:numId w:val="8"/>
      </w:numPr>
    </w:pPr>
  </w:style>
  <w:style w:type="paragraph" w:customStyle="1" w:styleId="ListNumberLevel2">
    <w:name w:val="List Number (Level 2)"/>
    <w:basedOn w:val="Normal"/>
    <w:pPr>
      <w:numPr>
        <w:ilvl w:val="1"/>
        <w:numId w:val="8"/>
      </w:numPr>
    </w:pPr>
  </w:style>
  <w:style w:type="paragraph" w:styleId="ListNumber">
    <w:name w:val="List Number"/>
    <w:basedOn w:val="Normal"/>
    <w:pPr>
      <w:numPr>
        <w:numId w:val="8"/>
      </w:numPr>
    </w:pPr>
  </w:style>
  <w:style w:type="paragraph" w:customStyle="1" w:styleId="ListDash4Level4">
    <w:name w:val="List Dash 4 (Level 4)"/>
    <w:basedOn w:val="Text4"/>
    <w:semiHidden/>
    <w:unhideWhenUsed/>
    <w:pPr>
      <w:numPr>
        <w:ilvl w:val="3"/>
        <w:numId w:val="17"/>
      </w:numPr>
    </w:pPr>
  </w:style>
  <w:style w:type="paragraph" w:customStyle="1" w:styleId="ListDash4Level3">
    <w:name w:val="List Dash 4 (Level 3)"/>
    <w:basedOn w:val="Text4"/>
    <w:semiHidden/>
    <w:unhideWhenUsed/>
    <w:pPr>
      <w:numPr>
        <w:ilvl w:val="2"/>
        <w:numId w:val="17"/>
      </w:numPr>
    </w:pPr>
  </w:style>
  <w:style w:type="paragraph" w:customStyle="1" w:styleId="ListDash4Level2">
    <w:name w:val="List Dash 4 (Level 2)"/>
    <w:basedOn w:val="Text4"/>
    <w:pPr>
      <w:numPr>
        <w:ilvl w:val="1"/>
        <w:numId w:val="17"/>
      </w:numPr>
    </w:pPr>
  </w:style>
  <w:style w:type="paragraph" w:customStyle="1" w:styleId="ListDash4">
    <w:name w:val="List Dash 4"/>
    <w:basedOn w:val="Text4"/>
    <w:pPr>
      <w:numPr>
        <w:numId w:val="17"/>
      </w:numPr>
    </w:pPr>
  </w:style>
  <w:style w:type="paragraph" w:customStyle="1" w:styleId="ListDash3Level4">
    <w:name w:val="List Dash 3 (Level 4)"/>
    <w:basedOn w:val="Text3"/>
    <w:semiHidden/>
    <w:unhideWhenUsed/>
    <w:pPr>
      <w:numPr>
        <w:ilvl w:val="3"/>
        <w:numId w:val="16"/>
      </w:numPr>
    </w:pPr>
  </w:style>
  <w:style w:type="paragraph" w:customStyle="1" w:styleId="ListDash3Level3">
    <w:name w:val="List Dash 3 (Level 3)"/>
    <w:basedOn w:val="Text3"/>
    <w:semiHidden/>
    <w:unhideWhenUsed/>
    <w:pPr>
      <w:numPr>
        <w:ilvl w:val="2"/>
        <w:numId w:val="16"/>
      </w:numPr>
    </w:pPr>
  </w:style>
  <w:style w:type="paragraph" w:customStyle="1" w:styleId="ListDash3Level2">
    <w:name w:val="List Dash 3 (Level 2)"/>
    <w:basedOn w:val="Text3"/>
    <w:pPr>
      <w:numPr>
        <w:ilvl w:val="1"/>
        <w:numId w:val="16"/>
      </w:numPr>
    </w:pPr>
  </w:style>
  <w:style w:type="paragraph" w:customStyle="1" w:styleId="ListDash3">
    <w:name w:val="List Dash 3"/>
    <w:basedOn w:val="Text3"/>
    <w:pPr>
      <w:numPr>
        <w:numId w:val="16"/>
      </w:numPr>
    </w:pPr>
  </w:style>
  <w:style w:type="paragraph" w:customStyle="1" w:styleId="ListDash2Level4">
    <w:name w:val="List Dash 2 (Level 4)"/>
    <w:basedOn w:val="Text2"/>
    <w:semiHidden/>
    <w:unhideWhenUsed/>
    <w:pPr>
      <w:numPr>
        <w:ilvl w:val="3"/>
        <w:numId w:val="15"/>
      </w:numPr>
    </w:pPr>
  </w:style>
  <w:style w:type="paragraph" w:customStyle="1" w:styleId="ListDash2Level3">
    <w:name w:val="List Dash 2 (Level 3)"/>
    <w:basedOn w:val="Text2"/>
    <w:semiHidden/>
    <w:unhideWhenUsed/>
    <w:pPr>
      <w:numPr>
        <w:ilvl w:val="2"/>
        <w:numId w:val="15"/>
      </w:numPr>
    </w:pPr>
  </w:style>
  <w:style w:type="paragraph" w:customStyle="1" w:styleId="ListDash2Level2">
    <w:name w:val="List Dash 2 (Level 2)"/>
    <w:basedOn w:val="Text2"/>
    <w:pPr>
      <w:numPr>
        <w:ilvl w:val="1"/>
        <w:numId w:val="15"/>
      </w:numPr>
    </w:pPr>
  </w:style>
  <w:style w:type="paragraph" w:customStyle="1" w:styleId="ListDash2">
    <w:name w:val="List Dash 2"/>
    <w:basedOn w:val="Text2"/>
    <w:pPr>
      <w:numPr>
        <w:numId w:val="15"/>
      </w:numPr>
    </w:pPr>
  </w:style>
  <w:style w:type="paragraph" w:customStyle="1" w:styleId="ListDash1Level4">
    <w:name w:val="List Dash 1 (Level 4)"/>
    <w:basedOn w:val="Text1"/>
    <w:semiHidden/>
    <w:unhideWhenUsed/>
    <w:pPr>
      <w:numPr>
        <w:ilvl w:val="3"/>
        <w:numId w:val="14"/>
      </w:numPr>
    </w:pPr>
  </w:style>
  <w:style w:type="paragraph" w:customStyle="1" w:styleId="ListDash1Level3">
    <w:name w:val="List Dash 1 (Level 3)"/>
    <w:basedOn w:val="Text1"/>
    <w:semiHidden/>
    <w:unhideWhenUsed/>
    <w:pPr>
      <w:numPr>
        <w:ilvl w:val="2"/>
        <w:numId w:val="14"/>
      </w:numPr>
    </w:pPr>
  </w:style>
  <w:style w:type="paragraph" w:customStyle="1" w:styleId="ListDash1Level2">
    <w:name w:val="List Dash 1 (Level 2)"/>
    <w:basedOn w:val="Text1"/>
    <w:pPr>
      <w:numPr>
        <w:ilvl w:val="1"/>
        <w:numId w:val="14"/>
      </w:numPr>
    </w:pPr>
  </w:style>
  <w:style w:type="paragraph" w:customStyle="1" w:styleId="ListDash1">
    <w:name w:val="List Dash 1"/>
    <w:basedOn w:val="Text1"/>
    <w:pPr>
      <w:numPr>
        <w:numId w:val="14"/>
      </w:numPr>
    </w:pPr>
  </w:style>
  <w:style w:type="paragraph" w:customStyle="1" w:styleId="ListDashLevel4">
    <w:name w:val="List Dash (Level 4)"/>
    <w:basedOn w:val="Normal"/>
    <w:semiHidden/>
    <w:unhideWhenUsed/>
    <w:pPr>
      <w:numPr>
        <w:ilvl w:val="3"/>
        <w:numId w:val="13"/>
      </w:numPr>
    </w:pPr>
  </w:style>
  <w:style w:type="paragraph" w:customStyle="1" w:styleId="ListDashLevel3">
    <w:name w:val="List Dash (Level 3)"/>
    <w:basedOn w:val="Normal"/>
    <w:semiHidden/>
    <w:unhideWhenUsed/>
    <w:pPr>
      <w:numPr>
        <w:ilvl w:val="2"/>
        <w:numId w:val="13"/>
      </w:numPr>
    </w:pPr>
  </w:style>
  <w:style w:type="paragraph" w:customStyle="1" w:styleId="ListDashLevel2">
    <w:name w:val="List Dash (Level 2)"/>
    <w:basedOn w:val="Normal"/>
    <w:pPr>
      <w:numPr>
        <w:ilvl w:val="1"/>
        <w:numId w:val="13"/>
      </w:numPr>
    </w:pPr>
  </w:style>
  <w:style w:type="paragraph" w:customStyle="1" w:styleId="ListDash">
    <w:name w:val="List Dash"/>
    <w:basedOn w:val="Normal"/>
    <w:pPr>
      <w:numPr>
        <w:numId w:val="13"/>
      </w:numPr>
    </w:pPr>
  </w:style>
  <w:style w:type="paragraph" w:customStyle="1" w:styleId="ListBullet4Level4">
    <w:name w:val="List Bullet 4 (Level 4)"/>
    <w:basedOn w:val="Text4"/>
    <w:semiHidden/>
    <w:unhideWhenUsed/>
    <w:pPr>
      <w:numPr>
        <w:ilvl w:val="3"/>
        <w:numId w:val="7"/>
      </w:numPr>
    </w:pPr>
  </w:style>
  <w:style w:type="paragraph" w:customStyle="1" w:styleId="ListBullet4Level3">
    <w:name w:val="List Bullet 4 (Level 3)"/>
    <w:basedOn w:val="Text4"/>
    <w:semiHidden/>
    <w:unhideWhenUsed/>
    <w:pPr>
      <w:numPr>
        <w:ilvl w:val="2"/>
        <w:numId w:val="7"/>
      </w:numPr>
    </w:pPr>
  </w:style>
  <w:style w:type="paragraph" w:customStyle="1" w:styleId="ListBullet4Level2">
    <w:name w:val="List Bullet 4 (Level 2)"/>
    <w:basedOn w:val="Text4"/>
    <w:pPr>
      <w:numPr>
        <w:ilvl w:val="1"/>
        <w:numId w:val="7"/>
      </w:numPr>
    </w:pPr>
  </w:style>
  <w:style w:type="paragraph" w:styleId="ListBullet4">
    <w:name w:val="List Bullet 4"/>
    <w:basedOn w:val="Text4"/>
    <w:pPr>
      <w:numPr>
        <w:numId w:val="7"/>
      </w:numPr>
    </w:pPr>
  </w:style>
  <w:style w:type="paragraph" w:customStyle="1" w:styleId="ListBullet3Level4">
    <w:name w:val="List Bullet 3 (Level 4)"/>
    <w:basedOn w:val="Text3"/>
    <w:semiHidden/>
    <w:unhideWhenUsed/>
    <w:pPr>
      <w:numPr>
        <w:ilvl w:val="3"/>
        <w:numId w:val="6"/>
      </w:numPr>
    </w:pPr>
  </w:style>
  <w:style w:type="paragraph" w:customStyle="1" w:styleId="ListBullet3Level3">
    <w:name w:val="List Bullet 3 (Level 3)"/>
    <w:basedOn w:val="Text3"/>
    <w:semiHidden/>
    <w:unhideWhenUsed/>
    <w:pPr>
      <w:numPr>
        <w:ilvl w:val="2"/>
        <w:numId w:val="6"/>
      </w:numPr>
    </w:pPr>
  </w:style>
  <w:style w:type="paragraph" w:customStyle="1" w:styleId="ListBullet3Level2">
    <w:name w:val="List Bullet 3 (Level 2)"/>
    <w:basedOn w:val="Text3"/>
    <w:pPr>
      <w:numPr>
        <w:ilvl w:val="1"/>
        <w:numId w:val="6"/>
      </w:numPr>
    </w:pPr>
  </w:style>
  <w:style w:type="paragraph" w:styleId="ListBullet3">
    <w:name w:val="List Bullet 3"/>
    <w:basedOn w:val="Text3"/>
    <w:pPr>
      <w:numPr>
        <w:numId w:val="6"/>
      </w:numPr>
    </w:pPr>
  </w:style>
  <w:style w:type="paragraph" w:customStyle="1" w:styleId="ListBullet2Level4">
    <w:name w:val="List Bullet 2 (Level 4)"/>
    <w:basedOn w:val="Text2"/>
    <w:semiHidden/>
    <w:unhideWhenUsed/>
    <w:pPr>
      <w:numPr>
        <w:ilvl w:val="3"/>
        <w:numId w:val="5"/>
      </w:numPr>
    </w:pPr>
  </w:style>
  <w:style w:type="paragraph" w:customStyle="1" w:styleId="ListBullet2Level3">
    <w:name w:val="List Bullet 2 (Level 3)"/>
    <w:basedOn w:val="Text2"/>
    <w:semiHidden/>
    <w:unhideWhenUsed/>
    <w:pPr>
      <w:numPr>
        <w:ilvl w:val="2"/>
        <w:numId w:val="5"/>
      </w:numPr>
    </w:pPr>
  </w:style>
  <w:style w:type="paragraph" w:customStyle="1" w:styleId="ListBullet2Level2">
    <w:name w:val="List Bullet 2 (Level 2)"/>
    <w:basedOn w:val="Text2"/>
    <w:pPr>
      <w:numPr>
        <w:ilvl w:val="1"/>
        <w:numId w:val="5"/>
      </w:numPr>
    </w:pPr>
  </w:style>
  <w:style w:type="paragraph" w:styleId="ListBullet2">
    <w:name w:val="List Bullet 2"/>
    <w:basedOn w:val="Text2"/>
    <w:pPr>
      <w:numPr>
        <w:numId w:val="5"/>
      </w:numPr>
    </w:pPr>
  </w:style>
  <w:style w:type="paragraph" w:customStyle="1" w:styleId="ListBullet1Level4">
    <w:name w:val="List Bullet 1 (Level 4)"/>
    <w:basedOn w:val="Text1"/>
    <w:semiHidden/>
    <w:unhideWhenUsed/>
    <w:pPr>
      <w:numPr>
        <w:ilvl w:val="3"/>
        <w:numId w:val="4"/>
      </w:numPr>
    </w:pPr>
  </w:style>
  <w:style w:type="paragraph" w:customStyle="1" w:styleId="ListBullet1Level3">
    <w:name w:val="List Bullet 1 (Level 3)"/>
    <w:basedOn w:val="Text1"/>
    <w:semiHidden/>
    <w:unhideWhenUsed/>
    <w:pPr>
      <w:numPr>
        <w:ilvl w:val="2"/>
        <w:numId w:val="4"/>
      </w:numPr>
    </w:pPr>
  </w:style>
  <w:style w:type="paragraph" w:customStyle="1" w:styleId="ListBullet1Level2">
    <w:name w:val="List Bullet 1 (Level 2)"/>
    <w:basedOn w:val="Text1"/>
    <w:pPr>
      <w:numPr>
        <w:ilvl w:val="1"/>
        <w:numId w:val="4"/>
      </w:numPr>
    </w:pPr>
  </w:style>
  <w:style w:type="paragraph" w:customStyle="1" w:styleId="ListBullet1">
    <w:name w:val="List Bullet 1"/>
    <w:basedOn w:val="Text1"/>
    <w:pPr>
      <w:numPr>
        <w:numId w:val="4"/>
      </w:numPr>
    </w:pPr>
  </w:style>
  <w:style w:type="paragraph" w:customStyle="1" w:styleId="ListBulletLevel4">
    <w:name w:val="List Bullet (Level 4)"/>
    <w:basedOn w:val="Text1"/>
    <w:semiHidden/>
    <w:unhideWhenUsed/>
    <w:pPr>
      <w:numPr>
        <w:ilvl w:val="3"/>
        <w:numId w:val="3"/>
      </w:numPr>
    </w:pPr>
  </w:style>
  <w:style w:type="paragraph" w:customStyle="1" w:styleId="ListBulletLevel3">
    <w:name w:val="List Bullet (Level 3)"/>
    <w:basedOn w:val="Text1"/>
    <w:semiHidden/>
    <w:unhideWhenUsed/>
    <w:pPr>
      <w:numPr>
        <w:ilvl w:val="2"/>
        <w:numId w:val="3"/>
      </w:numPr>
    </w:pPr>
  </w:style>
  <w:style w:type="paragraph" w:customStyle="1" w:styleId="ListBulletLevel2">
    <w:name w:val="List Bullet (Level 2)"/>
    <w:basedOn w:val="Text1"/>
    <w:pPr>
      <w:numPr>
        <w:ilvl w:val="1"/>
        <w:numId w:val="3"/>
      </w:numPr>
    </w:pPr>
  </w:style>
  <w:style w:type="paragraph" w:styleId="ListBullet">
    <w:name w:val="List Bullet"/>
    <w:basedOn w:val="Normal"/>
    <w:pPr>
      <w:numPr>
        <w:numId w:val="3"/>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s>
    </w:pPr>
  </w:style>
  <w:style w:type="paragraph" w:styleId="TOC5">
    <w:name w:val="toc 5"/>
    <w:basedOn w:val="Normal"/>
    <w:next w:val="Normal"/>
    <w:semiHidden/>
    <w:pPr>
      <w:tabs>
        <w:tab w:val="right" w:leader="dot" w:pos="8640"/>
      </w:tabs>
      <w:spacing w:before="120" w:after="60"/>
      <w:ind w:right="720"/>
    </w:pPr>
    <w:rPr>
      <w:b/>
    </w:rPr>
  </w:style>
  <w:style w:type="paragraph" w:styleId="TOC4">
    <w:name w:val="toc 4"/>
    <w:basedOn w:val="Normal"/>
    <w:next w:val="Normal"/>
    <w:uiPriority w:val="99"/>
    <w:semiHidden/>
    <w:pPr>
      <w:tabs>
        <w:tab w:val="left" w:pos="1446"/>
        <w:tab w:val="left" w:pos="1587"/>
        <w:tab w:val="right" w:leader="dot" w:pos="8640"/>
      </w:tabs>
      <w:spacing w:after="60"/>
      <w:ind w:left="1445" w:right="720" w:hanging="850"/>
    </w:pPr>
    <w:rPr>
      <w:noProof/>
      <w:sz w:val="20"/>
    </w:rPr>
  </w:style>
  <w:style w:type="paragraph" w:styleId="TOC3">
    <w:name w:val="toc 3"/>
    <w:basedOn w:val="Normal"/>
    <w:next w:val="Normal"/>
    <w:uiPriority w:val="99"/>
    <w:semiHidden/>
    <w:pPr>
      <w:tabs>
        <w:tab w:val="left" w:pos="595"/>
        <w:tab w:val="right" w:leader="dot" w:pos="8640"/>
      </w:tabs>
      <w:spacing w:after="60"/>
      <w:ind w:left="1190" w:right="720" w:hanging="595"/>
    </w:pPr>
    <w:rPr>
      <w:sz w:val="20"/>
    </w:rPr>
  </w:style>
  <w:style w:type="paragraph" w:styleId="TOC2">
    <w:name w:val="toc 2"/>
    <w:basedOn w:val="Normal"/>
    <w:next w:val="Normal"/>
    <w:uiPriority w:val="39"/>
    <w:semiHidden/>
    <w:pPr>
      <w:tabs>
        <w:tab w:val="left" w:pos="595"/>
        <w:tab w:val="right" w:leader="dot" w:pos="8640"/>
      </w:tabs>
      <w:spacing w:after="60"/>
      <w:ind w:left="595" w:right="720" w:hanging="595"/>
    </w:pPr>
    <w:rPr>
      <w:noProof/>
      <w:sz w:val="20"/>
    </w:rPr>
  </w:style>
  <w:style w:type="paragraph" w:styleId="TOC1">
    <w:name w:val="toc 1"/>
    <w:basedOn w:val="Normal"/>
    <w:next w:val="Normal"/>
    <w:uiPriority w:val="39"/>
    <w:semiHidden/>
    <w:pPr>
      <w:tabs>
        <w:tab w:val="left" w:pos="595"/>
        <w:tab w:val="right" w:leader="dot" w:pos="8640"/>
      </w:tabs>
      <w:spacing w:after="60"/>
      <w:ind w:left="595" w:right="720" w:hanging="595"/>
    </w:pPr>
    <w:rPr>
      <w:b/>
      <w:caps/>
      <w:sz w:val="20"/>
    </w:rPr>
  </w:style>
  <w:style w:type="paragraph" w:styleId="TOCHeading">
    <w:name w:val="TOC Heading"/>
    <w:basedOn w:val="Normal"/>
    <w:next w:val="Normal"/>
    <w:semiHidden/>
    <w:pPr>
      <w:spacing w:after="120"/>
      <w:jc w:val="center"/>
    </w:pPr>
    <w:rPr>
      <w:rFonts w:ascii="Times New Roman Bold" w:hAnsi="Times New Roman Bold"/>
      <w:b/>
      <w:sz w:val="32"/>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qFormat/>
    <w:pPr>
      <w:spacing w:after="120"/>
      <w:ind w:left="357" w:hanging="357"/>
    </w:pPr>
    <w:rPr>
      <w:sz w:val="20"/>
    </w:r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next w:val="Normal"/>
    <w:pPr>
      <w:ind w:left="5102"/>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202"/>
    </w:pPr>
  </w:style>
  <w:style w:type="paragraph" w:customStyle="1" w:styleId="Text3">
    <w:name w:val="Text 3"/>
    <w:basedOn w:val="Normal"/>
    <w:uiPriority w:val="90"/>
    <w:qFormat/>
    <w:pPr>
      <w:ind w:left="1202"/>
    </w:pPr>
  </w:style>
  <w:style w:type="paragraph" w:customStyle="1" w:styleId="Text4">
    <w:name w:val="Text 4"/>
    <w:basedOn w:val="Normal"/>
    <w:uiPriority w:val="90"/>
    <w:qFormat/>
    <w:pPr>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2"/>
      <w:jc w:val="left"/>
    </w:pPr>
  </w:style>
  <w:style w:type="paragraph" w:customStyle="1" w:styleId="PartTitle">
    <w:name w:val="PartTitle"/>
    <w:basedOn w:val="Normal"/>
    <w:next w:val="ChapterTitle"/>
    <w:uiPriority w:val="90"/>
    <w:qFormat/>
    <w:pPr>
      <w:keepNext/>
      <w:pageBreakBefore/>
      <w:spacing w:after="480"/>
      <w:jc w:val="center"/>
    </w:pPr>
    <w:rPr>
      <w:b/>
      <w:sz w:val="36"/>
    </w:rPr>
  </w:style>
  <w:style w:type="paragraph" w:customStyle="1" w:styleId="ChapterTitle">
    <w:name w:val="ChapterTitle"/>
    <w:basedOn w:val="Normal"/>
    <w:next w:val="SectionTitle"/>
    <w:uiPriority w:val="90"/>
    <w:qFormat/>
    <w:pPr>
      <w:keepNext/>
      <w:spacing w:after="480"/>
      <w:jc w:val="center"/>
    </w:pPr>
    <w:rPr>
      <w:b/>
      <w:sz w:val="32"/>
    </w:rPr>
  </w:style>
  <w:style w:type="paragraph" w:customStyle="1" w:styleId="SectionTitle">
    <w:name w:val="SectionTitle"/>
    <w:basedOn w:val="Normal"/>
    <w:next w:val="Heading1"/>
    <w:uiPriority w:val="90"/>
    <w:qFormat/>
    <w:pPr>
      <w:keepNext/>
      <w:spacing w:after="480"/>
      <w:jc w:val="center"/>
    </w:pPr>
    <w:rPr>
      <w:b/>
      <w:smallCaps/>
      <w:sz w:val="28"/>
    </w:rPr>
  </w:style>
  <w:style w:type="paragraph" w:styleId="Signature">
    <w:name w:val="Signature"/>
    <w:basedOn w:val="Normal"/>
    <w:next w:val="Enclosures"/>
    <w:pPr>
      <w:tabs>
        <w:tab w:val="left" w:pos="5102"/>
      </w:tabs>
      <w:spacing w:before="1200" w:after="0"/>
      <w:ind w:left="5102"/>
      <w:jc w:val="center"/>
    </w:pPr>
  </w:style>
  <w:style w:type="paragraph" w:customStyle="1" w:styleId="SignatureL">
    <w:name w:val="SignatureL"/>
    <w:basedOn w:val="Normal"/>
    <w:next w:val="Enclosures"/>
    <w:pPr>
      <w:tabs>
        <w:tab w:val="left" w:pos="5102"/>
      </w:tabs>
      <w:spacing w:before="1200" w:after="0"/>
      <w:jc w:val="left"/>
    </w:pPr>
  </w:style>
  <w:style w:type="paragraph" w:customStyle="1" w:styleId="DoubSign">
    <w:name w:val="DoubSign"/>
    <w:basedOn w:val="Normal"/>
    <w:next w:val="Enclosures"/>
    <w:pPr>
      <w:tabs>
        <w:tab w:val="left" w:pos="5102"/>
      </w:tabs>
      <w:spacing w:before="1200" w:after="0"/>
      <w:jc w:val="left"/>
    </w:pPr>
  </w:style>
  <w:style w:type="paragraph" w:customStyle="1" w:styleId="Enclosures">
    <w:name w:val="Enclosures"/>
    <w:basedOn w:val="Normal"/>
    <w:pPr>
      <w:keepNext/>
      <w:keepLines/>
      <w:tabs>
        <w:tab w:val="left" w:pos="5641"/>
      </w:tabs>
      <w:spacing w:before="480" w:after="0"/>
      <w:ind w:left="2382" w:hanging="1191"/>
      <w:jc w:val="left"/>
    </w:pPr>
  </w:style>
  <w:style w:type="paragraph" w:styleId="Title">
    <w:name w:val="Title"/>
    <w:basedOn w:val="Normal"/>
    <w:next w:val="SubTitle1"/>
    <w:pPr>
      <w:spacing w:after="480"/>
      <w:jc w:val="center"/>
    </w:pPr>
    <w:rPr>
      <w:b/>
      <w:kern w:val="28"/>
      <w:sz w:val="48"/>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YReferences">
    <w:name w:val="YReferences"/>
    <w:basedOn w:val="Normal"/>
    <w:next w:val="Normal"/>
    <w:pPr>
      <w:spacing w:after="480"/>
      <w:ind w:left="3062" w:hanging="1531"/>
    </w:p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HistoryTable">
    <w:name w:val="HistoryTable"/>
    <w:basedOn w:val="Normal"/>
    <w:pPr>
      <w:spacing w:before="60" w:after="60"/>
      <w:jc w:val="left"/>
    </w:pPr>
    <w:rPr>
      <w:sz w:val="20"/>
    </w:rPr>
  </w:style>
  <w:style w:type="paragraph" w:customStyle="1" w:styleId="HistTableHeading">
    <w:name w:val="HistTableHeading"/>
    <w:basedOn w:val="Normal"/>
    <w:next w:val="HistoryTable"/>
    <w:pPr>
      <w:spacing w:after="120"/>
      <w:jc w:val="center"/>
    </w:pPr>
    <w:rPr>
      <w:rFonts w:ascii="Times New Roman Bold" w:hAnsi="Times New Roman Bold"/>
      <w:b/>
      <w:sz w:val="32"/>
    </w:rPr>
  </w:style>
  <w:style w:type="paragraph" w:customStyle="1" w:styleId="FigureTitle">
    <w:name w:val="Figure Title"/>
    <w:basedOn w:val="Normal"/>
    <w:next w:val="FigureBody"/>
    <w:uiPriority w:val="6"/>
    <w:pPr>
      <w:keepNext/>
      <w:spacing w:after="180"/>
    </w:pPr>
    <w:rPr>
      <w:b/>
    </w:rPr>
  </w:style>
  <w:style w:type="paragraph" w:customStyle="1" w:styleId="FigureBody">
    <w:name w:val="Figure Body"/>
    <w:basedOn w:val="Normal"/>
    <w:next w:val="FigureNote"/>
    <w:uiPriority w:val="7"/>
    <w:pPr>
      <w:keepNext/>
      <w:spacing w:after="40"/>
    </w:pPr>
  </w:style>
  <w:style w:type="paragraph" w:customStyle="1" w:styleId="FigureNote">
    <w:name w:val="Figure Note"/>
    <w:basedOn w:val="FigureSource"/>
    <w:next w:val="FigureSource"/>
    <w:uiPriority w:val="7"/>
    <w:rPr>
      <w:b/>
    </w:rPr>
  </w:style>
  <w:style w:type="paragraph" w:customStyle="1" w:styleId="FigureSource">
    <w:name w:val="Figure Source"/>
    <w:basedOn w:val="Normal"/>
    <w:next w:val="Normal"/>
    <w:uiPriority w:val="7"/>
    <w:rPr>
      <w:sz w:val="20"/>
    </w:rPr>
  </w:style>
  <w:style w:type="paragraph" w:customStyle="1" w:styleId="AnnexHeading1">
    <w:name w:val="Annex Heading 1"/>
    <w:basedOn w:val="Normal"/>
    <w:next w:val="Normal"/>
    <w:pPr>
      <w:pageBreakBefore/>
      <w:spacing w:before="240"/>
      <w:outlineLvl w:val="0"/>
    </w:pPr>
    <w:rPr>
      <w:b/>
      <w:smallCaps/>
      <w:sz w:val="36"/>
    </w:r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96FFE"/>
    <w:rPr>
      <w:sz w:val="16"/>
    </w:rPr>
  </w:style>
  <w:style w:type="character" w:styleId="FootnoteReference">
    <w:name w:val="footnote reference"/>
    <w:aliases w:val="Footnote"/>
    <w:basedOn w:val="DefaultParagraphFont"/>
    <w:unhideWhenUsed/>
    <w:qFormat/>
    <w:locked/>
    <w:rsid w:val="009E11F7"/>
    <w:rPr>
      <w:vertAlign w:val="superscript"/>
    </w:rPr>
  </w:style>
  <w:style w:type="character" w:styleId="CommentReference">
    <w:name w:val="annotation reference"/>
    <w:basedOn w:val="DefaultParagraphFont"/>
    <w:uiPriority w:val="99"/>
    <w:semiHidden/>
    <w:locked/>
    <w:rsid w:val="009A552A"/>
    <w:rPr>
      <w:sz w:val="16"/>
      <w:szCs w:val="16"/>
    </w:rPr>
  </w:style>
  <w:style w:type="paragraph" w:styleId="CommentText">
    <w:name w:val="annotation text"/>
    <w:basedOn w:val="Normal"/>
    <w:link w:val="CommentTextChar"/>
    <w:semiHidden/>
    <w:locked/>
    <w:rsid w:val="009A552A"/>
    <w:rPr>
      <w:sz w:val="20"/>
    </w:rPr>
  </w:style>
  <w:style w:type="character" w:customStyle="1" w:styleId="CommentTextChar">
    <w:name w:val="Comment Text Char"/>
    <w:basedOn w:val="DefaultParagraphFont"/>
    <w:link w:val="CommentText"/>
    <w:semiHidden/>
    <w:rsid w:val="009A552A"/>
    <w:rPr>
      <w:sz w:val="20"/>
    </w:rPr>
  </w:style>
  <w:style w:type="paragraph" w:styleId="CommentSubject">
    <w:name w:val="annotation subject"/>
    <w:basedOn w:val="CommentText"/>
    <w:next w:val="CommentText"/>
    <w:link w:val="CommentSubjectChar"/>
    <w:semiHidden/>
    <w:locked/>
    <w:rsid w:val="009A552A"/>
    <w:rPr>
      <w:b/>
      <w:bCs/>
    </w:rPr>
  </w:style>
  <w:style w:type="character" w:customStyle="1" w:styleId="CommentSubjectChar">
    <w:name w:val="Comment Subject Char"/>
    <w:basedOn w:val="CommentTextChar"/>
    <w:link w:val="CommentSubject"/>
    <w:semiHidden/>
    <w:rsid w:val="009A552A"/>
    <w:rPr>
      <w:b/>
      <w:bCs/>
      <w:sz w:val="20"/>
    </w:rPr>
  </w:style>
  <w:style w:type="paragraph" w:styleId="BalloonText">
    <w:name w:val="Balloon Text"/>
    <w:basedOn w:val="Normal"/>
    <w:link w:val="BalloonTextChar"/>
    <w:semiHidden/>
    <w:locked/>
    <w:rsid w:val="009A552A"/>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A552A"/>
    <w:rPr>
      <w:rFonts w:ascii="Segoe UI" w:hAnsi="Segoe UI" w:cs="Segoe UI"/>
      <w:sz w:val="18"/>
      <w:szCs w:val="18"/>
    </w:rPr>
  </w:style>
  <w:style w:type="paragraph" w:styleId="ListParagraph">
    <w:name w:val="List Paragraph"/>
    <w:basedOn w:val="Normal"/>
    <w:uiPriority w:val="34"/>
    <w:qFormat/>
    <w:locked/>
    <w:rsid w:val="00AD3351"/>
    <w:pPr>
      <w:widowControl w:val="0"/>
      <w:spacing w:before="120" w:after="120"/>
      <w:ind w:left="720"/>
      <w:contextualSpacing/>
    </w:pPr>
    <w:rPr>
      <w:rFonts w:ascii="Verdana" w:hAnsi="Verdana"/>
      <w:snapToGrid w:val="0"/>
      <w:sz w:val="20"/>
      <w:lang w:eastAsia="fi-FI"/>
    </w:rPr>
  </w:style>
  <w:style w:type="paragraph" w:styleId="NoSpacing">
    <w:name w:val="No Spacing"/>
    <w:uiPriority w:val="1"/>
    <w:qFormat/>
    <w:locked/>
    <w:rsid w:val="00AD3351"/>
    <w:pPr>
      <w:widowControl w:val="0"/>
      <w:jc w:val="both"/>
    </w:pPr>
    <w:rPr>
      <w:rFonts w:ascii="Verdana" w:hAnsi="Verdana"/>
      <w:snapToGrid w:val="0"/>
      <w:sz w:val="20"/>
      <w:lang w:eastAsia="fi-FI"/>
    </w:rPr>
  </w:style>
  <w:style w:type="numbering" w:customStyle="1" w:styleId="ECHANumberlist">
    <w:name w:val="ECHA Number list"/>
    <w:basedOn w:val="NoList"/>
    <w:rsid w:val="009E4699"/>
    <w:pPr>
      <w:numPr>
        <w:numId w:val="27"/>
      </w:numPr>
    </w:pPr>
  </w:style>
  <w:style w:type="table" w:styleId="TableGrid">
    <w:name w:val="Table Grid"/>
    <w:basedOn w:val="TableNormal"/>
    <w:locked/>
    <w:rsid w:val="005E2FE7"/>
    <w:pPr>
      <w:widowControl w:val="0"/>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5E2FE7"/>
  </w:style>
  <w:style w:type="character" w:customStyle="1" w:styleId="FootnoteTextChar">
    <w:name w:val="Footnote Text Char"/>
    <w:basedOn w:val="DefaultParagraphFont"/>
    <w:link w:val="FootnoteText"/>
    <w:uiPriority w:val="99"/>
    <w:rsid w:val="005053B8"/>
    <w:rPr>
      <w:sz w:val="20"/>
    </w:rPr>
  </w:style>
  <w:style w:type="table" w:customStyle="1" w:styleId="TableGrid1">
    <w:name w:val="Table Grid1"/>
    <w:basedOn w:val="TableNormal"/>
    <w:next w:val="TableGrid"/>
    <w:rsid w:val="00D20AA9"/>
    <w:pPr>
      <w:widowControl w:val="0"/>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32121"/>
    <w:pPr>
      <w:widowControl w:val="0"/>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locked/>
    <w:rsid w:val="00681B22"/>
    <w:rPr>
      <w:color w:val="0563C1" w:themeColor="hyperlink"/>
      <w:u w:val="single"/>
    </w:rPr>
  </w:style>
  <w:style w:type="character" w:styleId="FollowedHyperlink">
    <w:name w:val="FollowedHyperlink"/>
    <w:basedOn w:val="DefaultParagraphFont"/>
    <w:semiHidden/>
    <w:locked/>
    <w:rsid w:val="00681B22"/>
    <w:rPr>
      <w:color w:val="954F72" w:themeColor="followedHyperlink"/>
      <w:u w:val="single"/>
    </w:rPr>
  </w:style>
  <w:style w:type="paragraph" w:styleId="Revision">
    <w:name w:val="Revision"/>
    <w:hidden/>
    <w:semiHidden/>
    <w:locked/>
    <w:rsid w:val="000C2820"/>
  </w:style>
  <w:style w:type="paragraph" w:customStyle="1" w:styleId="CM4">
    <w:name w:val="CM4"/>
    <w:basedOn w:val="Normal"/>
    <w:next w:val="Normal"/>
    <w:uiPriority w:val="99"/>
    <w:rsid w:val="00D34658"/>
    <w:pPr>
      <w:autoSpaceDE w:val="0"/>
      <w:autoSpaceDN w:val="0"/>
      <w:adjustRightInd w:val="0"/>
      <w:spacing w:after="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79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package" Target="embeddings/Microsoft_Visio_Drawing.vsdx"/><Relationship Id="rId25" Type="http://schemas.openxmlformats.org/officeDocument/2006/relationships/package" Target="embeddings/Microsoft_Visio_Drawing1.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2.emf"/><Relationship Id="rId32" Type="http://schemas.openxmlformats.org/officeDocument/2006/relationships/image" Target="media/image9.png"/><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image" Target="media/image5.PNG"/><Relationship Id="rId10" Type="http://schemas.openxmlformats.org/officeDocument/2006/relationships/numbering" Target="numbering.xml"/><Relationship Id="rId19" Type="http://schemas.openxmlformats.org/officeDocument/2006/relationships/header" Target="header2.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ha.europa.eu/support/dossier-submission-tools/r4bp/supporting-documents" TargetMode="External"/><Relationship Id="rId2" Type="http://schemas.openxmlformats.org/officeDocument/2006/relationships/hyperlink" Target="https://webgate.ec.europa.eu/s-circabc/w/browse/89efe476-1017-46af-8a31-6ad845f79d04" TargetMode="External"/><Relationship Id="rId1" Type="http://schemas.openxmlformats.org/officeDocument/2006/relationships/hyperlink" Target="https://circabc.europa.eu/w/browse/c309ae58-bdd7-421d-a678-8d8ac361d4e0" TargetMode="External"/><Relationship Id="rId4" Type="http://schemas.openxmlformats.org/officeDocument/2006/relationships/hyperlink" Target="https://echa.europa.eu/documents/10162/21742587/pg_on_bpr_11_changes_en.pdf/850de5db-7f94-4395-8f1d-88b0395a4a8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8F283D3F7A4DAB98C81059ED8FFFE4"/>
        <w:category>
          <w:name w:val="General"/>
          <w:gallery w:val="placeholder"/>
        </w:category>
        <w:types>
          <w:type w:val="bbPlcHdr"/>
        </w:types>
        <w:behaviors>
          <w:behavior w:val="content"/>
        </w:behaviors>
        <w:guid w:val="{795624DB-2072-4D60-AF1B-C06420E9E104}"/>
      </w:docPartPr>
      <w:docPartBody>
        <w:p w:rsidR="008E467F" w:rsidRDefault="00F06266" w:rsidP="00F06266">
          <w:pPr>
            <w:pStyle w:val="408F283D3F7A4DAB98C81059ED8FFFE4"/>
          </w:pPr>
          <w:r>
            <w:rPr>
              <w:rStyle w:val="PlaceholderText"/>
              <w:lang w:val="en-GB"/>
            </w:rPr>
            <w:t>Type the document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266"/>
    <w:rsid w:val="000B0AB3"/>
    <w:rsid w:val="00212612"/>
    <w:rsid w:val="00450AC2"/>
    <w:rsid w:val="004C5603"/>
    <w:rsid w:val="00552BE3"/>
    <w:rsid w:val="00592690"/>
    <w:rsid w:val="007600C1"/>
    <w:rsid w:val="007B2F5E"/>
    <w:rsid w:val="007F0E4C"/>
    <w:rsid w:val="008E467F"/>
    <w:rsid w:val="00AA6FFB"/>
    <w:rsid w:val="00AC2436"/>
    <w:rsid w:val="00BB4E17"/>
    <w:rsid w:val="00C86129"/>
    <w:rsid w:val="00CE1F79"/>
    <w:rsid w:val="00D06ED4"/>
    <w:rsid w:val="00DD65C2"/>
    <w:rsid w:val="00F06266"/>
    <w:rsid w:val="00F932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436"/>
    <w:rPr>
      <w:color w:val="2C8F6C"/>
    </w:rPr>
  </w:style>
  <w:style w:type="paragraph" w:customStyle="1" w:styleId="05FA5176392949CCA6968B283750F015">
    <w:name w:val="05FA5176392949CCA6968B283750F015"/>
  </w:style>
  <w:style w:type="paragraph" w:customStyle="1" w:styleId="2E7DB8A752824860BB5A73A2736048B1">
    <w:name w:val="2E7DB8A752824860BB5A73A2736048B1"/>
  </w:style>
  <w:style w:type="character" w:customStyle="1" w:styleId="BodyPlaceholderText">
    <w:name w:val="BodyPlaceholderText"/>
    <w:basedOn w:val="PlaceholderText"/>
    <w:uiPriority w:val="1"/>
    <w:semiHidden/>
    <w:rPr>
      <w:color w:val="3366CC"/>
    </w:rPr>
  </w:style>
  <w:style w:type="paragraph" w:customStyle="1" w:styleId="D253B723D51D4ABABD1B080A4085E59E">
    <w:name w:val="D253B723D51D4ABABD1B080A4085E59E"/>
  </w:style>
  <w:style w:type="paragraph" w:customStyle="1" w:styleId="2A9082FB341540C7A315F69501C2844A">
    <w:name w:val="2A9082FB341540C7A315F69501C2844A"/>
    <w:rsid w:val="00F06266"/>
  </w:style>
  <w:style w:type="paragraph" w:customStyle="1" w:styleId="21236DC7F65F44D6825706841B9002F8">
    <w:name w:val="21236DC7F65F44D6825706841B9002F8"/>
    <w:rsid w:val="00F06266"/>
  </w:style>
  <w:style w:type="paragraph" w:customStyle="1" w:styleId="931DE049790947B8B7FC38F324AD7E7D">
    <w:name w:val="931DE049790947B8B7FC38F324AD7E7D"/>
    <w:rsid w:val="00F06266"/>
  </w:style>
  <w:style w:type="paragraph" w:customStyle="1" w:styleId="CB1418CE4C4E4A3980D9E4D53CA9FAF9">
    <w:name w:val="CB1418CE4C4E4A3980D9E4D53CA9FAF9"/>
    <w:rsid w:val="00F06266"/>
  </w:style>
  <w:style w:type="paragraph" w:customStyle="1" w:styleId="5961CB0E39FC428ABFD751452ACA9BED">
    <w:name w:val="5961CB0E39FC428ABFD751452ACA9BED"/>
    <w:rsid w:val="00F06266"/>
  </w:style>
  <w:style w:type="paragraph" w:customStyle="1" w:styleId="1DA2AB7056114C72B70B6460F5C5A4FC">
    <w:name w:val="1DA2AB7056114C72B70B6460F5C5A4FC"/>
    <w:rsid w:val="00F06266"/>
  </w:style>
  <w:style w:type="paragraph" w:customStyle="1" w:styleId="408F283D3F7A4DAB98C81059ED8FFFE4">
    <w:name w:val="408F283D3F7A4DAB98C81059ED8FFFE4"/>
    <w:rsid w:val="00F06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Texts>
  <SecurityPersonalData>Personal data</SecurityPersonalData>
  <SecurityPharma>Pharma investigations</SecurityPharma>
  <MarkingUntilText>UNTIL</MarkingUntilText>
  <LabelPictureSeq>Picture {SEQ Picture \* ARABIC } – </LabelPictureSeq>
  <SecurityMediationServiceMatter>Mediation service</SecurityMediationServiceMatter>
  <SecurityDeadline>Deadline</SecurityDeadline>
  <SecurityEconomyAndFinance>Economy and finance</SecurityEconomyAndFinance>
  <FooterFax>Fax</FooterFax>
  <FooterOffice>Office:</FooterOffice>
  <SecurityOlafInvestigations>OLAF investigations</SecurityOlafInvestigations>
  <TechHistory>Document History</TechHistory>
  <SensitiveHandling>Handling instructions for SENSITIVE information are given at https://europa.eu/!db43PX</SensitiveHandling>
  <SecurityOlafSpecialHandling>OLAF investigations</SecurityOlafSpecialHandling>
  <SecurityPersonal>Personal</SecurityPersonal>
  <CourtProceduralDocuments>Court procedural documents</CourtProceduralDocuments>
  <OrgaRoot>EUROPEAN COMMISSION</OrgaRoot>
  <TechHistoryComment>Comment</TechHistoryComment>
  <Contact>Contact:</Contact>
  <SensitiveLabel>Sensitive</SensitiveLabel>
  <SpecialHandlingLabel>Special Handling</SpecialHandlingLabel>
  <SecurityInvestigationsDisciplinary>Investigations and disciplinary matters</SecurityInvestigationsDisciplinary>
  <SecurityCompOperations>COMP</SecurityCompOperations>
  <SecurityEuSatellite>EU satellite navigation matters</SecurityEuSatellit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https://europa.eu/!db43PX</SpecialHandlingFootnote>
  <SecurityEtsSensitive>ETS</SecurityEtsSensitive>
  <SecurityEtsCritical>ETS Critical</SecurityEtsCritical>
  <SecurityCompSpecial>COMP</SecurityCompSpecial>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TechHistoryVersion>Version</TechHistoryVersion>
  <TLPAmber>TLP: Amber</TLPAmber>
  <SecurityMedicalSecret>Medical secret</SecurityMedicalSecret>
  <Contacts>Contacts:</Contacts>
  <SecurityEmbargo>Embargo until</SecurityEmbargo>
  <DateFormatShort>dd/MM/yyyy</DateFormatShort>
  <DateFormatLong>d MMMM yyyy</DateFormatLong>
</Text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5f69e26b-beb5-49c8-89f9-b5a0fae19f51" ContentTypeId="0x010100B558917389A54ADDB58930FBD7E6FD57008586DED9191B4C4CBD31A5DF7F304A7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5bcca709-0b09-4b74-bfa0-2137a84c1763">ACTV16-23-16212</_dlc_DocId>
    <ECHASecClassTaxHTField0 xmlns="5be2862c-9c7a-466a-8f6d-c278e82738e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a0307bc2-faf9-4068-8aeb-b713e4fa2a0f</TermId>
        </TermInfo>
      </Terms>
    </ECHASecClassTaxHTField0>
    <TaxCatchAll xmlns="b80ede5c-af4c-4bf2-9a87-706a3579dc11">
      <Value>1</Value>
    </TaxCatchAll>
    <_dlc_DocIdUrl xmlns="5bcca709-0b09-4b74-bfa0-2137a84c1763">
      <Url>https://activity.echa.europa.eu/sites/act-16/process-16-10/_layouts/15/DocIdRedir.aspx?ID=ACTV16-23-16212</Url>
      <Description>ACTV16-23-16212</Description>
    </_dlc_DocIdUrl>
    <ECHADocumentTypeTaxHTField0 xmlns="5be2862c-9c7a-466a-8f6d-c278e82738e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ECHADocumentTypeTaxHTField0>
    <ECHACategoryTaxHTField0 xmlns="5be2862c-9c7a-466a-8f6d-c278e82738e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ECHACategoryTaxHTField0>
    <ECHAProcessTaxHTField0 xmlns="5be2862c-9c7a-466a-8f6d-c278e82738e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ECHAProcessTaxHTField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EurolookProperties>
  <ProductCustomizationId>EC</ProductCustomizationId>
  <Created>
    <Version>10.0.38495.0</Version>
    <Date>2019-03-28T10:18:47</Date>
    <Language>EN</Language>
  </Created>
  <Edited>
    <Version>10.0.40769.0</Version>
    <Date>2020-04-30T14:37:29</Date>
  </Edited>
  <DocumentModel>
    <Id>6cbda13a-4db2-46c6-876a-ef72275827ef</Id>
    <Name>Report</Name>
  </DocumentModel>
  <DocumentDate>2019-03-28T10:18:47</DocumentDate>
  <DocumentVersion>0.1</DocumentVersion>
  <CompatibilityMode>Eurolook10</CompatibilityMode>
  <Address/>
</EurolookProperties>
</file>

<file path=customXml/item7.xml><?xml version="1.0" encoding="utf-8"?>
<ct:contentTypeSchema xmlns:ct="http://schemas.microsoft.com/office/2006/metadata/contentType" xmlns:ma="http://schemas.microsoft.com/office/2006/metadata/properties/metaAttributes" ct:_="" ma:_="" ma:contentTypeName="ECHA Process Document" ma:contentTypeID="0x010100B558917389A54ADDB58930FBD7E6FD57008586DED9191B4C4CBD31A5DF7F304A71007A1273D901CECF4796757C030DC4B4F9" ma:contentTypeVersion="0" ma:contentTypeDescription="Content type for ECHA process documents" ma:contentTypeScope="" ma:versionID="a1f1a4c03242b1963a68f429b405cd93">
  <xsd:schema xmlns:xsd="http://www.w3.org/2001/XMLSchema" xmlns:xs="http://www.w3.org/2001/XMLSchema" xmlns:p="http://schemas.microsoft.com/office/2006/metadata/properties" xmlns:ns2="5be2862c-9c7a-466a-8f6d-c278e82738e2" xmlns:ns3="5bcca709-0b09-4b74-bfa0-2137a84c1763" xmlns:ns4="b80ede5c-af4c-4bf2-9a87-706a3579dc11" targetNamespace="http://schemas.microsoft.com/office/2006/metadata/properties" ma:root="true" ma:fieldsID="463a45d39debf7c60389d65eb6dd8616" ns2:_="" ns3:_="" ns4:_="">
    <xsd:import namespace="5be2862c-9c7a-466a-8f6d-c278e82738e2"/>
    <xsd:import namespace="5bcca709-0b09-4b74-bfa0-2137a84c1763"/>
    <xsd:import namespace="b80ede5c-af4c-4bf2-9a87-706a3579dc11"/>
    <xsd:element name="properties">
      <xsd:complexType>
        <xsd:sequence>
          <xsd:element name="documentManagement">
            <xsd:complexType>
              <xsd:all>
                <xsd:element ref="ns3:_dlc_DocId" minOccurs="0"/>
                <xsd:element ref="ns3:_dlc_DocIdUrl" minOccurs="0"/>
                <xsd:element ref="ns3:_dlc_DocIdPersistId" minOccurs="0"/>
                <xsd:element ref="ns2:ECHADocumentTypeTaxHTField0" minOccurs="0"/>
                <xsd:element ref="ns4:TaxCatchAll" minOccurs="0"/>
                <xsd:element ref="ns4:TaxCatchAllLabel" minOccurs="0"/>
                <xsd:element ref="ns2:ECHASecClassTaxHTField0" minOccurs="0"/>
                <xsd:element ref="ns2:ECHAProcessTaxHTField0" minOccurs="0"/>
                <xsd:element ref="ns2:ECHACategory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2862c-9c7a-466a-8f6d-c278e82738e2" elementFormDefault="qualified">
    <xsd:import namespace="http://schemas.microsoft.com/office/2006/documentManagement/types"/>
    <xsd:import namespace="http://schemas.microsoft.com/office/infopath/2007/PartnerControls"/>
    <xsd:element name="ECHADocumentTypeTaxHTField0" ma:index="11" nillable="true" ma:taxonomy="true" ma:internalName="gd32339cd0b5409a9fdb05f9583968bc" ma:taxonomyFieldName="ECHADocumentType" ma:displayName="Document type" ma:readOnly="false" ma:fieldId="{0d32339c-d0b5-409a-9fdb-05f9583968bc}" ma:sspId="5f69e26b-beb5-49c8-89f9-b5a0fae19f51" ma:termSetId="aedf82a2-407f-4791-945d-c1f392314e39" ma:anchorId="00000000-0000-0000-0000-000000000000" ma:open="false" ma:isKeyword="false">
      <xsd:complexType>
        <xsd:sequence>
          <xsd:element ref="pc:Terms" minOccurs="0" maxOccurs="1"/>
        </xsd:sequence>
      </xsd:complexType>
    </xsd:element>
    <xsd:element name="ECHASecClassTaxHTField0" ma:index="15" ma:taxonomy="true" ma:internalName="ab0eb6f132fb4a769815f72efb98c81d" ma:taxonomyFieldName="ECHASecClass" ma:displayName="Security classification" ma:default="1;#|a0307bc2-faf9-4068-8aeb-b713e4fa2a0f" ma:fieldId="{ab0eb6f1-32fb-4a76-9815-f72efb98c81d}" ma:sspId="5f69e26b-beb5-49c8-89f9-b5a0fae19f51" ma:termSetId="bdbfee88-fbc0-4b29-a996-994f751932c4" ma:anchorId="00000000-0000-0000-0000-000000000000" ma:open="false" ma:isKeyword="false">
      <xsd:complexType>
        <xsd:sequence>
          <xsd:element ref="pc:Terms" minOccurs="0" maxOccurs="1"/>
        </xsd:sequence>
      </xsd:complexType>
    </xsd:element>
    <xsd:element name="ECHAProcessTaxHTField0" ma:index="17" nillable="true" ma:taxonomy="true" ma:internalName="k79ecea8bd3e48279038bf7156c8359b" ma:taxonomyFieldName="ECHAProcess" ma:displayName="Process" ma:readOnly="false" ma:fieldId="{479ecea8-bd3e-4827-9038-bf7156c8359b}" ma:sspId="5f69e26b-beb5-49c8-89f9-b5a0fae19f51" ma:termSetId="c30def1a-2ee0-45a9-b531-f691ecbc3c44" ma:anchorId="00000000-0000-0000-0000-000000000000" ma:open="false" ma:isKeyword="false">
      <xsd:complexType>
        <xsd:sequence>
          <xsd:element ref="pc:Terms" minOccurs="0" maxOccurs="1"/>
        </xsd:sequence>
      </xsd:complexType>
    </xsd:element>
    <xsd:element name="ECHACategoryTaxHTField0" ma:index="19" nillable="true" ma:taxonomy="true" ma:internalName="p86653fd247d4255942aa31697ef2e78" ma:taxonomyFieldName="ECHACategory" ma:displayName="Category" ma:readOnly="false" ma:default="" ma:fieldId="{986653fd-247d-4255-942a-a31697ef2e78}" ma:sspId="5f69e26b-beb5-49c8-89f9-b5a0fae19f51" ma:termSetId="55e7dc03-f0a2-4416-8b3b-39dffa2b38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ca709-0b09-4b74-bfa0-2137a84c17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04e86d5b-b30a-4669-bf1b-6b9ca1deb9f9}" ma:internalName="TaxCatchAll" ma:showField="CatchAllData" ma:web="5be2862c-9c7a-466a-8f6d-c278e82738e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04e86d5b-b30a-4669-bf1b-6b9ca1deb9f9}" ma:internalName="TaxCatchAllLabel" ma:readOnly="true" ma:showField="CatchAllDataLabel" ma:web="5be2862c-9c7a-466a-8f6d-c278e8273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Author Role="Creator">
  <Id>f2aa64ec-72ad-4d4e-995c-a8de57c9dade</Id>
  <Names>
    <Latin>
      <FirstName>Vincent </FirstName>
      <LastName>Delvaux</LastName>
    </Latin>
    <Greek>
      <FirstName/>
      <LastName/>
    </Greek>
    <Cyrillic>
      <FirstName/>
      <LastName/>
    </Cyrillic>
    <DocumentScript>
      <FirstName>Vincent </FirstName>
      <LastName>Delvaux</LastName>
      <FullName>Vincent  Delvaux</FullName>
    </DocumentScript>
  </Names>
  <Initials>VD</Initials>
  <Gender>m</Gender>
  <Email>Vincent.DELVAUX@ec.europa.eu</Email>
  <Service>SANTE.DDG2.E.4.003</Service>
  <Function ShowInSignature="true"/>
  <WebAddress/>
  <InheritedWebAddress>WebAddress</InheritedWebAddress>
  <OrgaEntity1>
    <Id>6332c4d2-2874-4332-ae74-fc843cef9b7e</Id>
    <LogicalLevel>1</LogicalLevel>
    <Name>SANTE</Name>
    <HeadLine1>DIRECTORATE-GENERAL FOR HEALTH AND FOOD SAFETY</HeadLine1>
    <HeadLine2/>
    <PrimaryAddressId>f03b5801-04c9-4931-aa17-c6d6c70bc579</PrimaryAddressId>
    <SecondaryAddressId/>
    <WebAddress>WebAddress</WebAddress>
    <InheritedWebAddress>WebAddress</InheritedWebAddress>
    <ShowInHeader>true</ShowInHeader>
  </OrgaEntity1>
  <OrgaEntity2>
    <Id>80cb2d41-d17c-42e4-a39e-9ecfff602a03</Id>
    <LogicalLevel>2</LogicalLevel>
    <Name>SANTE.DDG2.E</Name>
    <HeadLine1>Food and feed safety, innovation</HeadLine1>
    <HeadLine2/>
    <PrimaryAddressId>f03b5801-04c9-4931-aa17-c6d6c70bc579</PrimaryAddressId>
    <SecondaryAddressId/>
    <WebAddress/>
    <InheritedWebAddress>WebAddress</InheritedWebAddress>
    <ShowInHeader>true</ShowInHeader>
  </OrgaEntity2>
  <OrgaEntity3>
    <Id>6d9379c7-9868-4a94-816b-0790e9cad321</Id>
    <LogicalLevel>3</LogicalLevel>
    <Name>SANTE.DDG2.E.4</Name>
    <HeadLine1>Pesticides and biocides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+32 229 58196</Phone>
    <Office>F101 05/082</Office>
  </MainWorkplace>
  <Workplaces>
    <Workplace IsMain="false">
      <AddressId>1264fb81-f6bb-475e-9f9d-a937d3be6ee2</AddressId>
      <Fax/>
      <Phone/>
      <Office/>
    </Workplace>
    <Workplace IsMain="true">
      <AddressId>f03b5801-04c9-4931-aa17-c6d6c70bc579</AddressId>
      <Fax/>
      <Phone>+32 229 58196</Phone>
      <Office>F101 05/082</Office>
    </Workplace>
  </Workplaces>
</Author>
</file>

<file path=customXml/item9.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E2AC7025-7F68-43C6-B256-827099569E02}">
  <ds:schemaRefs>
    <ds:schemaRef ds:uri="http://schemas.microsoft.com/sharepoint/events"/>
  </ds:schemaRefs>
</ds:datastoreItem>
</file>

<file path=customXml/itemProps3.xml><?xml version="1.0" encoding="utf-8"?>
<ds:datastoreItem xmlns:ds="http://schemas.openxmlformats.org/officeDocument/2006/customXml" ds:itemID="{87E65263-E10E-434B-9584-18B8FDB26CCD}">
  <ds:schemaRefs>
    <ds:schemaRef ds:uri="Microsoft.SharePoint.Taxonomy.ContentTypeSync"/>
  </ds:schemaRefs>
</ds:datastoreItem>
</file>

<file path=customXml/itemProps4.xml><?xml version="1.0" encoding="utf-8"?>
<ds:datastoreItem xmlns:ds="http://schemas.openxmlformats.org/officeDocument/2006/customXml" ds:itemID="{3CFF4254-5195-4B11-8423-19EB6788F0C5}">
  <ds:schemaRefs>
    <ds:schemaRef ds:uri="5be2862c-9c7a-466a-8f6d-c278e82738e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bcca709-0b09-4b74-bfa0-2137a84c1763"/>
    <ds:schemaRef ds:uri="b80ede5c-af4c-4bf2-9a87-706a3579dc11"/>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E76FA895-1CE3-4C1E-8B58-948AD38EBDC7}">
  <ds:schemaRefs>
    <ds:schemaRef ds:uri="http://schemas.microsoft.com/sharepoint/v3/contenttype/forms"/>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A3023534-99C3-4EE2-8095-74FC9FE1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2862c-9c7a-466a-8f6d-c278e82738e2"/>
    <ds:schemaRef ds:uri="5bcca709-0b09-4b74-bfa0-2137a84c1763"/>
    <ds:schemaRef ds:uri="b80ede5c-af4c-4bf2-9a87-706a357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044946-5330-43F7-8D16-AA78684F2938}">
  <ds:schemaRefs/>
</ds:datastoreItem>
</file>

<file path=customXml/itemProps9.xml><?xml version="1.0" encoding="utf-8"?>
<ds:datastoreItem xmlns:ds="http://schemas.openxmlformats.org/officeDocument/2006/customXml" ds:itemID="{34BFD594-C355-410C-ACD1-CFB4651D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15</TotalTime>
  <Pages>49</Pages>
  <Words>14249</Words>
  <Characters>72390</Characters>
  <Application>Microsoft Office Word</Application>
  <DocSecurity>0</DocSecurity>
  <PresentationFormat>Microsoft Word 14.0</PresentationFormat>
  <Lines>2413</Lines>
  <Paragraphs>1468</Paragraphs>
  <ScaleCrop>true</ScaleCrop>
  <HeadingPairs>
    <vt:vector size="4" baseType="variant">
      <vt:variant>
        <vt:lpstr>Title</vt:lpstr>
      </vt:variant>
      <vt:variant>
        <vt:i4>1</vt:i4>
      </vt:variant>
      <vt:variant>
        <vt:lpstr>Titel</vt:lpstr>
      </vt:variant>
      <vt:variant>
        <vt:i4>1</vt:i4>
      </vt:variant>
    </vt:vector>
  </HeadingPairs>
  <TitlesOfParts>
    <vt:vector size="2" baseType="lpstr">
      <vt:lpstr>Note agreed by Member States’ Competent Authorities for biocidal products
Note for Guidance</vt:lpstr>
      <vt:lpstr>Draft note for discussion with Member States’ Competent Authorities for biocidal products
Note for Guidance</vt:lpstr>
    </vt:vector>
  </TitlesOfParts>
  <Company>BAuA</Company>
  <LinksUpToDate>false</LinksUpToDate>
  <CharactersWithSpaces>85171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agreed by Member States’ Competent Authorities for biocidal products
Note for Guidance</dc:title>
  <dc:creator>DELVAUX Vincent (SANTE)</dc:creator>
  <cp:lastModifiedBy>DELVAUX Vincent (SANTE)</cp:lastModifiedBy>
  <cp:revision>6</cp:revision>
  <cp:lastPrinted>2019-04-24T15:38:00Z</cp:lastPrinted>
  <dcterms:created xsi:type="dcterms:W3CDTF">2020-04-30T12:14:00Z</dcterms:created>
  <dcterms:modified xsi:type="dcterms:W3CDTF">2020-04-30T12:37:00Z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_dlc_DocIdItemGuid">
    <vt:lpwstr>4549f0aa-94a7-4083-a7e8-3e4b502eeb2c</vt:lpwstr>
  </property>
  <property fmtid="{D5CDD505-2E9C-101B-9397-08002B2CF9AE}" pid="5" name="ContentTypeId">
    <vt:lpwstr>0x010100B558917389A54ADDB58930FBD7E6FD57008586DED9191B4C4CBD31A5DF7F304A71007A1273D901CECF4796757C030DC4B4F9</vt:lpwstr>
  </property>
  <property fmtid="{D5CDD505-2E9C-101B-9397-08002B2CF9AE}" pid="6" name="ECHASecClass">
    <vt:lpwstr>1;#|a0307bc2-faf9-4068-8aeb-b713e4fa2a0f</vt:lpwstr>
  </property>
  <property fmtid="{D5CDD505-2E9C-101B-9397-08002B2CF9AE}" pid="7" name="ECHAProcess">
    <vt:lpwstr/>
  </property>
  <property fmtid="{D5CDD505-2E9C-101B-9397-08002B2CF9AE}" pid="8" name="ECHADocumentType">
    <vt:lpwstr/>
  </property>
  <property fmtid="{D5CDD505-2E9C-101B-9397-08002B2CF9AE}" pid="9" name="ECHACategory">
    <vt:lpwstr/>
  </property>
  <property fmtid="{D5CDD505-2E9C-101B-9397-08002B2CF9AE}" pid="10" name="Formatting">
    <vt:lpwstr>4.1</vt:lpwstr>
  </property>
  <property fmtid="{D5CDD505-2E9C-101B-9397-08002B2CF9AE}" pid="11" name="Last edited using">
    <vt:lpwstr>EL 4.6 Build 50000</vt:lpwstr>
  </property>
</Properties>
</file>