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18B5" w14:textId="7567D401" w:rsidR="00777D78" w:rsidRDefault="00B92C7D" w:rsidP="00FF5DF2">
      <w:pPr>
        <w:pStyle w:val="Pagedecouverture"/>
      </w:pPr>
      <w:bookmarkStart w:id="0" w:name="_GoBack"/>
      <w:bookmarkEnd w:id="0"/>
      <w:r>
        <w:pict w14:anchorId="715F5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65BF4E6-58BD-4CF9-A505-479DA957CF4B" style="width:455.25pt;height:442.5pt">
            <v:imagedata r:id="rId11" o:title=""/>
          </v:shape>
        </w:pict>
      </w:r>
    </w:p>
    <w:p w14:paraId="441FA7A1" w14:textId="77777777" w:rsidR="00777D78" w:rsidRDefault="00777D78" w:rsidP="00777D78">
      <w:pPr>
        <w:sectPr w:rsidR="00777D78" w:rsidSect="00FF5DF2">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0D6E9718" w14:textId="77777777" w:rsidR="00777D78" w:rsidRDefault="00777D78" w:rsidP="00777D78">
      <w:pPr>
        <w:pStyle w:val="Annexetitre"/>
      </w:pPr>
      <w:r w:rsidRPr="00777D78">
        <w:lastRenderedPageBreak/>
        <w:t xml:space="preserve">ANNEX </w:t>
      </w:r>
    </w:p>
    <w:tbl>
      <w:tblPr>
        <w:tblW w:w="1458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568"/>
        <w:gridCol w:w="1984"/>
        <w:gridCol w:w="2552"/>
        <w:gridCol w:w="1134"/>
        <w:gridCol w:w="1134"/>
        <w:gridCol w:w="926"/>
        <w:gridCol w:w="5288"/>
      </w:tblGrid>
      <w:tr w:rsidR="00777D78" w14:paraId="1FC92C5E" w14:textId="77777777" w:rsidTr="000A1C7B">
        <w:trPr>
          <w:jc w:val="center"/>
        </w:trPr>
        <w:tc>
          <w:tcPr>
            <w:tcW w:w="1568" w:type="dxa"/>
            <w:vAlign w:val="center"/>
            <w:hideMark/>
          </w:tcPr>
          <w:p w14:paraId="66A731C2" w14:textId="77777777" w:rsidR="00777D78" w:rsidRDefault="00777D78">
            <w:pPr>
              <w:spacing w:before="40" w:after="40" w:line="276" w:lineRule="auto"/>
              <w:jc w:val="center"/>
              <w:rPr>
                <w:b/>
                <w:noProof/>
                <w:sz w:val="20"/>
                <w:szCs w:val="20"/>
                <w:lang w:eastAsia="en-GB"/>
              </w:rPr>
            </w:pPr>
            <w:r>
              <w:rPr>
                <w:b/>
                <w:noProof/>
                <w:sz w:val="20"/>
                <w:szCs w:val="20"/>
                <w:lang w:eastAsia="en-GB"/>
              </w:rPr>
              <w:t>Common Name</w:t>
            </w:r>
          </w:p>
        </w:tc>
        <w:tc>
          <w:tcPr>
            <w:tcW w:w="1984" w:type="dxa"/>
            <w:vAlign w:val="center"/>
            <w:hideMark/>
          </w:tcPr>
          <w:p w14:paraId="372CC89A" w14:textId="77777777" w:rsidR="00777D78" w:rsidRDefault="00777D78">
            <w:pPr>
              <w:spacing w:before="40" w:after="40" w:line="276" w:lineRule="auto"/>
              <w:jc w:val="center"/>
              <w:rPr>
                <w:b/>
                <w:noProof/>
                <w:sz w:val="20"/>
                <w:szCs w:val="20"/>
                <w:lang w:eastAsia="en-GB"/>
              </w:rPr>
            </w:pPr>
            <w:r>
              <w:rPr>
                <w:b/>
                <w:noProof/>
                <w:sz w:val="20"/>
                <w:szCs w:val="20"/>
                <w:lang w:eastAsia="en-GB"/>
              </w:rPr>
              <w:t>IUPAC Name</w:t>
            </w:r>
          </w:p>
          <w:p w14:paraId="4C188FB7" w14:textId="77777777" w:rsidR="00777D78" w:rsidRDefault="00777D78">
            <w:pPr>
              <w:spacing w:before="40" w:after="40" w:line="276" w:lineRule="auto"/>
              <w:jc w:val="center"/>
              <w:rPr>
                <w:b/>
                <w:noProof/>
                <w:sz w:val="20"/>
                <w:szCs w:val="20"/>
                <w:lang w:eastAsia="en-GB"/>
              </w:rPr>
            </w:pPr>
            <w:r>
              <w:rPr>
                <w:b/>
                <w:noProof/>
                <w:sz w:val="20"/>
                <w:szCs w:val="20"/>
                <w:lang w:eastAsia="en-GB"/>
              </w:rPr>
              <w:t>Identification Numbers</w:t>
            </w:r>
          </w:p>
        </w:tc>
        <w:tc>
          <w:tcPr>
            <w:tcW w:w="2552" w:type="dxa"/>
            <w:vAlign w:val="center"/>
            <w:hideMark/>
          </w:tcPr>
          <w:p w14:paraId="654E3C2A" w14:textId="77777777" w:rsidR="00777D78" w:rsidRDefault="00777D78">
            <w:pPr>
              <w:spacing w:before="40" w:after="40" w:line="276" w:lineRule="auto"/>
              <w:jc w:val="center"/>
              <w:rPr>
                <w:b/>
                <w:noProof/>
                <w:sz w:val="20"/>
                <w:szCs w:val="20"/>
                <w:lang w:eastAsia="en-GB"/>
              </w:rPr>
            </w:pPr>
            <w:r>
              <w:rPr>
                <w:b/>
                <w:noProof/>
                <w:sz w:val="20"/>
                <w:szCs w:val="20"/>
                <w:lang w:eastAsia="en-GB"/>
              </w:rPr>
              <w:t>Minimum degree of purity of the active substance</w:t>
            </w:r>
            <w:r>
              <w:rPr>
                <w:rStyle w:val="FootnoteReference"/>
              </w:rPr>
              <w:footnoteReference w:id="1"/>
            </w:r>
          </w:p>
        </w:tc>
        <w:tc>
          <w:tcPr>
            <w:tcW w:w="1134" w:type="dxa"/>
            <w:vAlign w:val="center"/>
            <w:hideMark/>
          </w:tcPr>
          <w:p w14:paraId="05670B8D" w14:textId="77777777" w:rsidR="00777D78" w:rsidRDefault="00777D78">
            <w:pPr>
              <w:spacing w:before="40" w:after="40" w:line="276" w:lineRule="auto"/>
              <w:jc w:val="center"/>
              <w:rPr>
                <w:b/>
                <w:noProof/>
                <w:sz w:val="20"/>
                <w:szCs w:val="20"/>
                <w:lang w:eastAsia="en-GB"/>
              </w:rPr>
            </w:pPr>
            <w:r>
              <w:rPr>
                <w:b/>
                <w:noProof/>
                <w:sz w:val="20"/>
                <w:szCs w:val="20"/>
                <w:lang w:eastAsia="en-GB"/>
              </w:rPr>
              <w:t>Date of approval</w:t>
            </w:r>
          </w:p>
        </w:tc>
        <w:tc>
          <w:tcPr>
            <w:tcW w:w="1134" w:type="dxa"/>
            <w:vAlign w:val="center"/>
            <w:hideMark/>
          </w:tcPr>
          <w:p w14:paraId="5D32D01A" w14:textId="77777777" w:rsidR="00777D78" w:rsidRDefault="00777D78">
            <w:pPr>
              <w:spacing w:before="40" w:after="40" w:line="276" w:lineRule="auto"/>
              <w:jc w:val="center"/>
              <w:rPr>
                <w:b/>
                <w:noProof/>
                <w:sz w:val="20"/>
                <w:szCs w:val="20"/>
                <w:lang w:eastAsia="en-GB"/>
              </w:rPr>
            </w:pPr>
            <w:r>
              <w:rPr>
                <w:b/>
                <w:noProof/>
                <w:sz w:val="20"/>
                <w:szCs w:val="20"/>
                <w:lang w:eastAsia="en-GB"/>
              </w:rPr>
              <w:t>Expiry date of approval</w:t>
            </w:r>
          </w:p>
        </w:tc>
        <w:tc>
          <w:tcPr>
            <w:tcW w:w="926" w:type="dxa"/>
            <w:vAlign w:val="center"/>
            <w:hideMark/>
          </w:tcPr>
          <w:p w14:paraId="016651E9" w14:textId="77777777" w:rsidR="00777D78" w:rsidRDefault="00777D78">
            <w:pPr>
              <w:spacing w:before="40" w:after="40" w:line="276" w:lineRule="auto"/>
              <w:jc w:val="center"/>
              <w:rPr>
                <w:b/>
                <w:noProof/>
                <w:sz w:val="20"/>
                <w:szCs w:val="20"/>
                <w:lang w:eastAsia="en-GB"/>
              </w:rPr>
            </w:pPr>
            <w:r>
              <w:rPr>
                <w:b/>
                <w:noProof/>
                <w:sz w:val="20"/>
                <w:szCs w:val="20"/>
                <w:lang w:eastAsia="en-GB"/>
              </w:rPr>
              <w:t>Product type</w:t>
            </w:r>
          </w:p>
        </w:tc>
        <w:tc>
          <w:tcPr>
            <w:tcW w:w="5288" w:type="dxa"/>
            <w:vAlign w:val="center"/>
            <w:hideMark/>
          </w:tcPr>
          <w:p w14:paraId="4D6110AA" w14:textId="77777777" w:rsidR="00777D78" w:rsidRDefault="00777D78">
            <w:pPr>
              <w:spacing w:before="40" w:after="40" w:line="276" w:lineRule="auto"/>
              <w:jc w:val="center"/>
              <w:rPr>
                <w:b/>
                <w:noProof/>
                <w:sz w:val="20"/>
                <w:szCs w:val="20"/>
                <w:lang w:eastAsia="en-GB"/>
              </w:rPr>
            </w:pPr>
            <w:r>
              <w:rPr>
                <w:b/>
                <w:noProof/>
                <w:sz w:val="20"/>
                <w:szCs w:val="20"/>
                <w:lang w:eastAsia="en-GB"/>
              </w:rPr>
              <w:t>Specific conditions</w:t>
            </w:r>
          </w:p>
        </w:tc>
      </w:tr>
      <w:tr w:rsidR="00D0017A" w:rsidRPr="00777D78" w14:paraId="71C734C0" w14:textId="77777777" w:rsidTr="000A1C7B">
        <w:trPr>
          <w:trHeight w:val="1885"/>
          <w:jc w:val="center"/>
        </w:trPr>
        <w:tc>
          <w:tcPr>
            <w:tcW w:w="1568" w:type="dxa"/>
            <w:vMerge w:val="restart"/>
            <w:hideMark/>
          </w:tcPr>
          <w:p w14:paraId="03B7D297" w14:textId="7101B250" w:rsidR="00D0017A" w:rsidRPr="005E6F08" w:rsidRDefault="00D0017A">
            <w:pPr>
              <w:spacing w:before="40" w:after="40" w:line="276" w:lineRule="auto"/>
              <w:jc w:val="left"/>
              <w:rPr>
                <w:noProof/>
                <w:sz w:val="20"/>
                <w:szCs w:val="20"/>
                <w:lang w:eastAsia="en-GB"/>
              </w:rPr>
            </w:pPr>
            <w:r w:rsidRPr="00D0017A">
              <w:rPr>
                <w:bCs/>
                <w:sz w:val="20"/>
                <w:szCs w:val="20"/>
              </w:rPr>
              <w:t>Ozone generated from oxygen</w:t>
            </w:r>
          </w:p>
        </w:tc>
        <w:tc>
          <w:tcPr>
            <w:tcW w:w="1984" w:type="dxa"/>
            <w:vMerge w:val="restart"/>
          </w:tcPr>
          <w:p w14:paraId="3E16A66D" w14:textId="2D99064D" w:rsidR="00D0017A" w:rsidRPr="005E6F08" w:rsidRDefault="00D0017A">
            <w:pPr>
              <w:spacing w:before="40" w:after="240" w:line="276" w:lineRule="auto"/>
              <w:jc w:val="left"/>
              <w:rPr>
                <w:noProof/>
                <w:sz w:val="20"/>
                <w:szCs w:val="20"/>
                <w:lang w:eastAsia="en-GB"/>
              </w:rPr>
            </w:pPr>
            <w:r w:rsidRPr="005E6F08">
              <w:rPr>
                <w:noProof/>
                <w:sz w:val="20"/>
                <w:szCs w:val="20"/>
                <w:lang w:eastAsia="en-GB"/>
              </w:rPr>
              <w:t xml:space="preserve">IUPAC name: </w:t>
            </w:r>
            <w:r>
              <w:rPr>
                <w:bCs/>
                <w:sz w:val="20"/>
                <w:szCs w:val="20"/>
              </w:rPr>
              <w:t>Ozone</w:t>
            </w:r>
          </w:p>
          <w:p w14:paraId="05FB6696" w14:textId="519E3F37" w:rsidR="00D0017A" w:rsidRPr="005E6F08" w:rsidRDefault="00D0017A">
            <w:pPr>
              <w:spacing w:before="40" w:after="360" w:line="276" w:lineRule="auto"/>
              <w:jc w:val="left"/>
              <w:rPr>
                <w:noProof/>
                <w:sz w:val="20"/>
                <w:szCs w:val="20"/>
                <w:lang w:eastAsia="en-GB"/>
              </w:rPr>
            </w:pPr>
            <w:r w:rsidRPr="005E6F08">
              <w:rPr>
                <w:noProof/>
                <w:sz w:val="20"/>
                <w:szCs w:val="20"/>
                <w:lang w:eastAsia="en-GB"/>
              </w:rPr>
              <w:t xml:space="preserve">EC No: </w:t>
            </w:r>
            <w:r>
              <w:rPr>
                <w:noProof/>
                <w:sz w:val="20"/>
                <w:szCs w:val="20"/>
                <w:lang w:eastAsia="en-GB"/>
              </w:rPr>
              <w:t>not applicable</w:t>
            </w:r>
          </w:p>
          <w:p w14:paraId="237AA0F2" w14:textId="4AF2B138" w:rsidR="00D0017A" w:rsidRPr="005E6F08" w:rsidRDefault="00D0017A" w:rsidP="00D0017A">
            <w:pPr>
              <w:spacing w:before="40" w:after="240" w:line="276" w:lineRule="auto"/>
              <w:jc w:val="left"/>
              <w:rPr>
                <w:noProof/>
                <w:sz w:val="20"/>
                <w:szCs w:val="20"/>
                <w:lang w:eastAsia="en-GB"/>
              </w:rPr>
            </w:pPr>
            <w:r w:rsidRPr="005E6F08">
              <w:rPr>
                <w:noProof/>
                <w:sz w:val="20"/>
                <w:szCs w:val="20"/>
                <w:lang w:eastAsia="en-GB"/>
              </w:rPr>
              <w:t xml:space="preserve">CAS No: </w:t>
            </w:r>
            <w:r>
              <w:rPr>
                <w:noProof/>
                <w:sz w:val="20"/>
                <w:szCs w:val="20"/>
                <w:lang w:eastAsia="en-GB"/>
              </w:rPr>
              <w:t>not applicable</w:t>
            </w:r>
          </w:p>
        </w:tc>
        <w:tc>
          <w:tcPr>
            <w:tcW w:w="2552" w:type="dxa"/>
            <w:vMerge w:val="restart"/>
            <w:shd w:val="clear" w:color="auto" w:fill="FFFFFF"/>
          </w:tcPr>
          <w:p w14:paraId="2B4DC4C5" w14:textId="760470DE" w:rsidR="001F23E8" w:rsidRDefault="00952BC1" w:rsidP="00952BC1">
            <w:pPr>
              <w:spacing w:line="276" w:lineRule="auto"/>
              <w:rPr>
                <w:noProof/>
                <w:sz w:val="20"/>
                <w:szCs w:val="20"/>
                <w:lang w:eastAsia="en-GB"/>
              </w:rPr>
            </w:pPr>
            <w:r w:rsidRPr="00952BC1">
              <w:rPr>
                <w:noProof/>
                <w:sz w:val="20"/>
                <w:szCs w:val="20"/>
                <w:lang w:eastAsia="en-GB"/>
              </w:rPr>
              <w:t>For ozone generated from the precursor oxygen supplied in containers, the</w:t>
            </w:r>
            <w:r w:rsidR="001F23E8">
              <w:rPr>
                <w:noProof/>
                <w:sz w:val="20"/>
                <w:szCs w:val="20"/>
                <w:lang w:eastAsia="en-GB"/>
              </w:rPr>
              <w:t xml:space="preserve"> following</w:t>
            </w:r>
            <w:r w:rsidRPr="00952BC1">
              <w:rPr>
                <w:noProof/>
                <w:sz w:val="20"/>
                <w:szCs w:val="20"/>
                <w:lang w:eastAsia="en-GB"/>
              </w:rPr>
              <w:t xml:space="preserve"> specifications </w:t>
            </w:r>
            <w:r w:rsidR="001F23E8">
              <w:rPr>
                <w:noProof/>
                <w:sz w:val="20"/>
                <w:szCs w:val="20"/>
                <w:lang w:eastAsia="en-GB"/>
              </w:rPr>
              <w:t>apply:</w:t>
            </w:r>
          </w:p>
          <w:p w14:paraId="07979F3B" w14:textId="3F7E7501" w:rsidR="00EB7D95" w:rsidRPr="005E6F08" w:rsidRDefault="00952BC1" w:rsidP="000C5135">
            <w:pPr>
              <w:spacing w:line="276" w:lineRule="auto"/>
              <w:rPr>
                <w:noProof/>
                <w:sz w:val="20"/>
                <w:szCs w:val="20"/>
                <w:lang w:eastAsia="en-GB"/>
              </w:rPr>
            </w:pPr>
            <w:r w:rsidRPr="00952BC1">
              <w:rPr>
                <w:noProof/>
                <w:sz w:val="20"/>
                <w:szCs w:val="20"/>
                <w:lang w:eastAsia="en-GB"/>
              </w:rPr>
              <w:t xml:space="preserve">The purity of oxygen </w:t>
            </w:r>
            <w:r w:rsidR="001F23E8">
              <w:rPr>
                <w:noProof/>
                <w:sz w:val="20"/>
                <w:szCs w:val="20"/>
                <w:lang w:eastAsia="en-GB"/>
              </w:rPr>
              <w:t>shall</w:t>
            </w:r>
            <w:r w:rsidRPr="00952BC1">
              <w:rPr>
                <w:noProof/>
                <w:sz w:val="20"/>
                <w:szCs w:val="20"/>
                <w:lang w:eastAsia="en-GB"/>
              </w:rPr>
              <w:t xml:space="preserve"> be at least 90% by volume fraction and the hydrocarbons content reported as methane equivalents (methane index) shall not exceed a volume fraction of 50 ppm. Depending on the production route of oxygen, oxygen </w:t>
            </w:r>
            <w:r w:rsidR="001F23E8">
              <w:rPr>
                <w:noProof/>
                <w:sz w:val="20"/>
                <w:szCs w:val="20"/>
                <w:lang w:eastAsia="en-GB"/>
              </w:rPr>
              <w:t>may</w:t>
            </w:r>
            <w:r w:rsidRPr="00952BC1">
              <w:rPr>
                <w:noProof/>
                <w:sz w:val="20"/>
                <w:szCs w:val="20"/>
                <w:lang w:eastAsia="en-GB"/>
              </w:rPr>
              <w:t xml:space="preserve"> contain quantities of the following impurities: </w:t>
            </w:r>
            <w:bookmarkStart w:id="1" w:name="_Hlk124773533"/>
            <w:r w:rsidRPr="00952BC1">
              <w:rPr>
                <w:noProof/>
                <w:sz w:val="20"/>
                <w:szCs w:val="20"/>
                <w:lang w:eastAsia="en-GB"/>
              </w:rPr>
              <w:t>water, nitrogen, argon, carbon dioxide and other rare gases</w:t>
            </w:r>
            <w:bookmarkEnd w:id="1"/>
            <w:r w:rsidR="000C5135">
              <w:rPr>
                <w:noProof/>
                <w:sz w:val="20"/>
                <w:szCs w:val="20"/>
                <w:lang w:eastAsia="en-GB"/>
              </w:rPr>
              <w:t>.</w:t>
            </w:r>
          </w:p>
        </w:tc>
        <w:tc>
          <w:tcPr>
            <w:tcW w:w="1134" w:type="dxa"/>
            <w:vMerge w:val="restart"/>
            <w:shd w:val="clear" w:color="auto" w:fill="FFFFFF"/>
            <w:hideMark/>
          </w:tcPr>
          <w:p w14:paraId="5EC45912" w14:textId="474E0F0A" w:rsidR="00D0017A" w:rsidRPr="005E6F08" w:rsidRDefault="00D0017A" w:rsidP="00F92FC4">
            <w:pPr>
              <w:spacing w:before="40" w:after="40" w:line="276" w:lineRule="auto"/>
              <w:jc w:val="center"/>
              <w:rPr>
                <w:noProof/>
                <w:sz w:val="20"/>
                <w:szCs w:val="20"/>
                <w:lang w:eastAsia="en-GB"/>
              </w:rPr>
            </w:pPr>
            <w:r w:rsidRPr="005E6F08">
              <w:rPr>
                <w:noProof/>
                <w:sz w:val="20"/>
                <w:szCs w:val="20"/>
                <w:lang w:eastAsia="en-GB"/>
              </w:rPr>
              <w:t xml:space="preserve">1 </w:t>
            </w:r>
            <w:r w:rsidR="00F92FC4">
              <w:rPr>
                <w:noProof/>
                <w:sz w:val="20"/>
                <w:szCs w:val="20"/>
                <w:lang w:eastAsia="en-GB"/>
              </w:rPr>
              <w:t>July</w:t>
            </w:r>
            <w:r w:rsidRPr="005E6F08">
              <w:rPr>
                <w:noProof/>
                <w:sz w:val="20"/>
                <w:szCs w:val="20"/>
                <w:lang w:eastAsia="en-GB"/>
              </w:rPr>
              <w:t xml:space="preserve"> 202</w:t>
            </w:r>
            <w:r w:rsidR="00F92FC4">
              <w:rPr>
                <w:noProof/>
                <w:sz w:val="20"/>
                <w:szCs w:val="20"/>
                <w:lang w:eastAsia="en-GB"/>
              </w:rPr>
              <w:t>4</w:t>
            </w:r>
          </w:p>
        </w:tc>
        <w:tc>
          <w:tcPr>
            <w:tcW w:w="1134" w:type="dxa"/>
            <w:vMerge w:val="restart"/>
            <w:shd w:val="clear" w:color="auto" w:fill="FFFFFF"/>
            <w:hideMark/>
          </w:tcPr>
          <w:p w14:paraId="2D9A020C" w14:textId="131F6D36" w:rsidR="00D0017A" w:rsidRPr="005E6F08" w:rsidRDefault="00F92FC4" w:rsidP="00F92FC4">
            <w:pPr>
              <w:spacing w:before="40" w:after="40" w:line="276" w:lineRule="auto"/>
              <w:jc w:val="center"/>
              <w:rPr>
                <w:noProof/>
                <w:sz w:val="20"/>
                <w:szCs w:val="20"/>
                <w:lang w:eastAsia="en-GB"/>
              </w:rPr>
            </w:pPr>
            <w:r>
              <w:rPr>
                <w:noProof/>
                <w:sz w:val="20"/>
                <w:szCs w:val="20"/>
                <w:lang w:eastAsia="en-GB"/>
              </w:rPr>
              <w:t>30</w:t>
            </w:r>
            <w:r w:rsidR="00D0017A" w:rsidRPr="005E6F08">
              <w:rPr>
                <w:noProof/>
                <w:sz w:val="20"/>
                <w:szCs w:val="20"/>
                <w:lang w:eastAsia="en-GB"/>
              </w:rPr>
              <w:t xml:space="preserve"> J</w:t>
            </w:r>
            <w:r>
              <w:rPr>
                <w:noProof/>
                <w:sz w:val="20"/>
                <w:szCs w:val="20"/>
                <w:lang w:eastAsia="en-GB"/>
              </w:rPr>
              <w:t>une  2034</w:t>
            </w:r>
          </w:p>
        </w:tc>
        <w:tc>
          <w:tcPr>
            <w:tcW w:w="926" w:type="dxa"/>
            <w:hideMark/>
          </w:tcPr>
          <w:p w14:paraId="084D5F87" w14:textId="55F84231" w:rsidR="00D0017A" w:rsidRPr="005E6F08" w:rsidRDefault="00D0017A" w:rsidP="0042379E">
            <w:pPr>
              <w:spacing w:before="40" w:after="40" w:line="276" w:lineRule="auto"/>
              <w:jc w:val="center"/>
              <w:outlineLvl w:val="1"/>
              <w:rPr>
                <w:rFonts w:eastAsia="Calibri"/>
                <w:noProof/>
                <w:sz w:val="20"/>
                <w:szCs w:val="20"/>
                <w:lang w:eastAsia="en-GB"/>
              </w:rPr>
            </w:pPr>
            <w:r>
              <w:rPr>
                <w:rFonts w:eastAsia="Calibri"/>
                <w:noProof/>
                <w:sz w:val="20"/>
                <w:szCs w:val="20"/>
                <w:lang w:eastAsia="en-GB"/>
              </w:rPr>
              <w:t>2</w:t>
            </w:r>
          </w:p>
        </w:tc>
        <w:tc>
          <w:tcPr>
            <w:tcW w:w="5288" w:type="dxa"/>
          </w:tcPr>
          <w:p w14:paraId="6ADFDBE4" w14:textId="77777777" w:rsidR="00D0017A" w:rsidRPr="002F5808" w:rsidRDefault="00D0017A" w:rsidP="00D0017A">
            <w:pPr>
              <w:spacing w:before="0"/>
              <w:rPr>
                <w:noProof/>
                <w:sz w:val="20"/>
                <w:szCs w:val="20"/>
                <w:lang w:eastAsia="en-GB"/>
              </w:rPr>
            </w:pPr>
            <w:r w:rsidRPr="0042379E">
              <w:rPr>
                <w:noProof/>
                <w:sz w:val="20"/>
                <w:szCs w:val="20"/>
                <w:lang w:eastAsia="en-GB"/>
              </w:rPr>
              <w:t xml:space="preserve">The authorisation of biocidal products is subject to the </w:t>
            </w:r>
            <w:r w:rsidRPr="002F5808">
              <w:rPr>
                <w:noProof/>
                <w:sz w:val="20"/>
                <w:szCs w:val="20"/>
                <w:lang w:eastAsia="en-GB"/>
              </w:rPr>
              <w:t>following conditions:</w:t>
            </w:r>
          </w:p>
          <w:p w14:paraId="499C45F9" w14:textId="5A1C8EA3" w:rsidR="00D0017A" w:rsidRDefault="005C2B04" w:rsidP="003E5E19">
            <w:pPr>
              <w:autoSpaceDE w:val="0"/>
              <w:autoSpaceDN w:val="0"/>
              <w:adjustRightInd w:val="0"/>
              <w:spacing w:before="0" w:after="0"/>
              <w:ind w:left="683" w:hanging="360"/>
              <w:rPr>
                <w:color w:val="000000"/>
                <w:sz w:val="20"/>
                <w:szCs w:val="20"/>
                <w:lang w:val="en-US"/>
              </w:rPr>
            </w:pPr>
            <w:r>
              <w:rPr>
                <w:color w:val="000000"/>
                <w:sz w:val="20"/>
                <w:szCs w:val="20"/>
                <w:lang w:val="en-US"/>
              </w:rPr>
              <w:t xml:space="preserve">(a) </w:t>
            </w:r>
            <w:r w:rsidR="00D071F9">
              <w:rPr>
                <w:color w:val="000000"/>
                <w:sz w:val="20"/>
                <w:szCs w:val="20"/>
                <w:lang w:val="en-US"/>
              </w:rPr>
              <w:t>t</w:t>
            </w:r>
            <w:r w:rsidR="00D0017A" w:rsidRPr="003E5E19">
              <w:rPr>
                <w:color w:val="000000"/>
                <w:sz w:val="20"/>
                <w:szCs w:val="20"/>
                <w:lang w:val="en-US"/>
              </w:rPr>
              <w:t>he product assessment shall pay particular attention to the exposures, the risks and the efficacy linked to any uses covered by an application for authorisation, but not addressed in the Union level risk assessment of the active substance</w:t>
            </w:r>
            <w:r>
              <w:rPr>
                <w:color w:val="000000"/>
                <w:sz w:val="20"/>
                <w:szCs w:val="20"/>
                <w:lang w:val="en-US"/>
              </w:rPr>
              <w:t>;</w:t>
            </w:r>
          </w:p>
          <w:p w14:paraId="62B0BADF" w14:textId="77777777" w:rsidR="00833A4E" w:rsidRPr="003E5E19" w:rsidRDefault="00833A4E" w:rsidP="003E5E19">
            <w:pPr>
              <w:autoSpaceDE w:val="0"/>
              <w:autoSpaceDN w:val="0"/>
              <w:adjustRightInd w:val="0"/>
              <w:spacing w:before="0" w:after="0"/>
              <w:rPr>
                <w:color w:val="000000"/>
                <w:sz w:val="20"/>
                <w:szCs w:val="20"/>
                <w:lang w:val="en-US"/>
              </w:rPr>
            </w:pPr>
          </w:p>
          <w:p w14:paraId="20E9C250" w14:textId="1498D8DC" w:rsidR="00D0017A" w:rsidRPr="003E5E19" w:rsidRDefault="005C2B04" w:rsidP="003E5E19">
            <w:pPr>
              <w:autoSpaceDE w:val="0"/>
              <w:autoSpaceDN w:val="0"/>
              <w:adjustRightInd w:val="0"/>
              <w:spacing w:before="0" w:after="0"/>
              <w:ind w:left="83" w:firstLine="240"/>
              <w:rPr>
                <w:color w:val="000000"/>
                <w:sz w:val="20"/>
                <w:szCs w:val="20"/>
                <w:lang w:val="en-US"/>
              </w:rPr>
            </w:pPr>
            <w:r>
              <w:rPr>
                <w:color w:val="000000"/>
                <w:sz w:val="20"/>
                <w:szCs w:val="20"/>
                <w:lang w:val="en-US"/>
              </w:rPr>
              <w:t xml:space="preserve">(b) </w:t>
            </w:r>
            <w:r w:rsidR="00D071F9">
              <w:rPr>
                <w:color w:val="000000"/>
                <w:sz w:val="20"/>
                <w:szCs w:val="20"/>
                <w:lang w:val="en-US"/>
              </w:rPr>
              <w:t>t</w:t>
            </w:r>
            <w:r w:rsidR="00D0017A" w:rsidRPr="003E5E19">
              <w:rPr>
                <w:color w:val="000000"/>
                <w:sz w:val="20"/>
                <w:szCs w:val="20"/>
                <w:lang w:val="en-US"/>
              </w:rPr>
              <w:t>he product assessment shall pay particular attention to:</w:t>
            </w:r>
          </w:p>
          <w:p w14:paraId="20C25C11" w14:textId="666ABFE1" w:rsidR="00D0017A" w:rsidRPr="00F92FC4" w:rsidRDefault="00D0017A" w:rsidP="00A350FE">
            <w:pPr>
              <w:pStyle w:val="ListParagraph"/>
              <w:numPr>
                <w:ilvl w:val="1"/>
                <w:numId w:val="10"/>
              </w:numPr>
              <w:autoSpaceDE w:val="0"/>
              <w:autoSpaceDN w:val="0"/>
              <w:adjustRightInd w:val="0"/>
              <w:spacing w:before="0" w:after="0"/>
              <w:rPr>
                <w:color w:val="000000"/>
                <w:sz w:val="20"/>
                <w:szCs w:val="20"/>
                <w:lang w:val="en-US"/>
              </w:rPr>
            </w:pPr>
            <w:r w:rsidRPr="00F92FC4">
              <w:rPr>
                <w:sz w:val="20"/>
                <w:szCs w:val="20"/>
              </w:rPr>
              <w:t>professional user</w:t>
            </w:r>
            <w:r w:rsidR="00F92FC4">
              <w:rPr>
                <w:sz w:val="20"/>
                <w:szCs w:val="20"/>
              </w:rPr>
              <w:t>s;</w:t>
            </w:r>
          </w:p>
          <w:p w14:paraId="7FE0A28E" w14:textId="1C959410" w:rsidR="00F92FC4" w:rsidRDefault="00F92FC4" w:rsidP="00A350FE">
            <w:pPr>
              <w:pStyle w:val="ListParagraph"/>
              <w:numPr>
                <w:ilvl w:val="1"/>
                <w:numId w:val="10"/>
              </w:numPr>
              <w:autoSpaceDE w:val="0"/>
              <w:autoSpaceDN w:val="0"/>
              <w:adjustRightInd w:val="0"/>
              <w:spacing w:before="0" w:after="0"/>
              <w:rPr>
                <w:color w:val="000000"/>
                <w:sz w:val="20"/>
                <w:szCs w:val="20"/>
                <w:lang w:val="en-US"/>
              </w:rPr>
            </w:pPr>
            <w:r>
              <w:rPr>
                <w:color w:val="000000"/>
                <w:sz w:val="20"/>
                <w:szCs w:val="20"/>
                <w:lang w:val="en-US"/>
              </w:rPr>
              <w:t>non-professional users;</w:t>
            </w:r>
          </w:p>
          <w:p w14:paraId="7212CB62" w14:textId="3AF5975F" w:rsidR="00F92FC4" w:rsidRPr="00F92FC4" w:rsidRDefault="00F92FC4" w:rsidP="00A350FE">
            <w:pPr>
              <w:pStyle w:val="ListParagraph"/>
              <w:numPr>
                <w:ilvl w:val="1"/>
                <w:numId w:val="10"/>
              </w:numPr>
              <w:autoSpaceDE w:val="0"/>
              <w:autoSpaceDN w:val="0"/>
              <w:adjustRightInd w:val="0"/>
              <w:spacing w:before="0" w:after="0"/>
              <w:rPr>
                <w:color w:val="000000"/>
                <w:sz w:val="20"/>
                <w:szCs w:val="20"/>
                <w:lang w:val="en-US"/>
              </w:rPr>
            </w:pPr>
            <w:r>
              <w:rPr>
                <w:color w:val="000000"/>
                <w:sz w:val="20"/>
                <w:szCs w:val="20"/>
                <w:lang w:val="en-US"/>
              </w:rPr>
              <w:t xml:space="preserve">the secondary exposure of </w:t>
            </w:r>
            <w:r w:rsidR="00791813">
              <w:rPr>
                <w:color w:val="000000"/>
                <w:sz w:val="20"/>
                <w:szCs w:val="20"/>
                <w:lang w:val="en-US"/>
              </w:rPr>
              <w:t xml:space="preserve">the </w:t>
            </w:r>
            <w:r>
              <w:rPr>
                <w:color w:val="000000"/>
                <w:sz w:val="20"/>
                <w:szCs w:val="20"/>
                <w:lang w:val="en-US"/>
              </w:rPr>
              <w:t>general public.</w:t>
            </w:r>
          </w:p>
          <w:p w14:paraId="0D5E3295" w14:textId="0A05EF84" w:rsidR="00D0017A" w:rsidRPr="00D0017A" w:rsidRDefault="00D0017A" w:rsidP="00D0017A">
            <w:pPr>
              <w:autoSpaceDE w:val="0"/>
              <w:autoSpaceDN w:val="0"/>
              <w:adjustRightInd w:val="0"/>
              <w:spacing w:before="0" w:after="0"/>
              <w:rPr>
                <w:color w:val="000000"/>
                <w:sz w:val="20"/>
                <w:szCs w:val="20"/>
                <w:lang w:val="en-US"/>
              </w:rPr>
            </w:pPr>
          </w:p>
        </w:tc>
      </w:tr>
      <w:tr w:rsidR="00D0017A" w:rsidRPr="00777D78" w14:paraId="72D3847C" w14:textId="77777777" w:rsidTr="000546EC">
        <w:trPr>
          <w:trHeight w:val="1316"/>
          <w:jc w:val="center"/>
        </w:trPr>
        <w:tc>
          <w:tcPr>
            <w:tcW w:w="1568" w:type="dxa"/>
            <w:vMerge/>
          </w:tcPr>
          <w:p w14:paraId="5DA941E2" w14:textId="77777777" w:rsidR="00D0017A" w:rsidRPr="0042379E" w:rsidRDefault="00D0017A" w:rsidP="0042379E">
            <w:pPr>
              <w:spacing w:before="40" w:after="40" w:line="276" w:lineRule="auto"/>
              <w:jc w:val="left"/>
              <w:rPr>
                <w:bCs/>
                <w:sz w:val="20"/>
                <w:szCs w:val="20"/>
              </w:rPr>
            </w:pPr>
          </w:p>
        </w:tc>
        <w:tc>
          <w:tcPr>
            <w:tcW w:w="1984" w:type="dxa"/>
            <w:vMerge/>
          </w:tcPr>
          <w:p w14:paraId="415167AC" w14:textId="77777777" w:rsidR="00D0017A" w:rsidRPr="0088352A" w:rsidRDefault="00D0017A" w:rsidP="0042379E">
            <w:pPr>
              <w:spacing w:before="40" w:after="240" w:line="276" w:lineRule="auto"/>
              <w:jc w:val="left"/>
              <w:rPr>
                <w:noProof/>
                <w:sz w:val="20"/>
                <w:szCs w:val="20"/>
                <w:highlight w:val="yellow"/>
                <w:lang w:eastAsia="en-GB"/>
              </w:rPr>
            </w:pPr>
          </w:p>
        </w:tc>
        <w:tc>
          <w:tcPr>
            <w:tcW w:w="2552" w:type="dxa"/>
            <w:vMerge/>
            <w:shd w:val="clear" w:color="auto" w:fill="FFFFFF"/>
          </w:tcPr>
          <w:p w14:paraId="6B0312E4" w14:textId="77777777" w:rsidR="00D0017A" w:rsidRPr="0042379E" w:rsidRDefault="00D0017A" w:rsidP="006849DB">
            <w:pPr>
              <w:numPr>
                <w:ilvl w:val="0"/>
                <w:numId w:val="9"/>
              </w:numPr>
              <w:autoSpaceDE w:val="0"/>
              <w:autoSpaceDN w:val="0"/>
              <w:adjustRightInd w:val="0"/>
              <w:spacing w:before="0" w:after="0"/>
              <w:jc w:val="left"/>
              <w:rPr>
                <w:color w:val="000000"/>
                <w:sz w:val="20"/>
                <w:szCs w:val="20"/>
                <w:lang w:val="en-US"/>
              </w:rPr>
            </w:pPr>
          </w:p>
        </w:tc>
        <w:tc>
          <w:tcPr>
            <w:tcW w:w="1134" w:type="dxa"/>
            <w:vMerge/>
            <w:shd w:val="clear" w:color="auto" w:fill="FFFFFF"/>
          </w:tcPr>
          <w:p w14:paraId="6FF893C2" w14:textId="77777777" w:rsidR="00D0017A" w:rsidRPr="0088352A" w:rsidRDefault="00D0017A" w:rsidP="0042379E">
            <w:pPr>
              <w:spacing w:before="40" w:after="40" w:line="276" w:lineRule="auto"/>
              <w:jc w:val="center"/>
              <w:rPr>
                <w:noProof/>
                <w:sz w:val="20"/>
                <w:szCs w:val="20"/>
                <w:highlight w:val="yellow"/>
                <w:lang w:eastAsia="en-GB"/>
              </w:rPr>
            </w:pPr>
          </w:p>
        </w:tc>
        <w:tc>
          <w:tcPr>
            <w:tcW w:w="1134" w:type="dxa"/>
            <w:vMerge/>
            <w:shd w:val="clear" w:color="auto" w:fill="FFFFFF"/>
          </w:tcPr>
          <w:p w14:paraId="2E497F13" w14:textId="77777777" w:rsidR="00D0017A" w:rsidRPr="0088352A" w:rsidRDefault="00D0017A" w:rsidP="0042379E">
            <w:pPr>
              <w:spacing w:before="40" w:after="40" w:line="276" w:lineRule="auto"/>
              <w:jc w:val="center"/>
              <w:rPr>
                <w:noProof/>
                <w:sz w:val="20"/>
                <w:szCs w:val="20"/>
                <w:highlight w:val="yellow"/>
                <w:lang w:eastAsia="en-GB"/>
              </w:rPr>
            </w:pPr>
          </w:p>
        </w:tc>
        <w:tc>
          <w:tcPr>
            <w:tcW w:w="926" w:type="dxa"/>
          </w:tcPr>
          <w:p w14:paraId="549CD0A5" w14:textId="256D0299" w:rsidR="00D0017A" w:rsidRDefault="00D0017A" w:rsidP="0042379E">
            <w:pPr>
              <w:spacing w:before="40" w:after="40" w:line="276" w:lineRule="auto"/>
              <w:jc w:val="center"/>
              <w:outlineLvl w:val="1"/>
              <w:rPr>
                <w:rFonts w:eastAsia="Calibri"/>
                <w:noProof/>
                <w:sz w:val="20"/>
                <w:szCs w:val="20"/>
                <w:lang w:eastAsia="en-GB"/>
              </w:rPr>
            </w:pPr>
            <w:r>
              <w:rPr>
                <w:rFonts w:eastAsia="Calibri"/>
                <w:noProof/>
                <w:sz w:val="20"/>
                <w:szCs w:val="20"/>
                <w:lang w:eastAsia="en-GB"/>
              </w:rPr>
              <w:t>4</w:t>
            </w:r>
          </w:p>
        </w:tc>
        <w:tc>
          <w:tcPr>
            <w:tcW w:w="5288" w:type="dxa"/>
          </w:tcPr>
          <w:p w14:paraId="3326EEC0" w14:textId="3DDA57DD" w:rsidR="00D0017A" w:rsidRPr="00546090" w:rsidRDefault="00D0017A" w:rsidP="0042379E">
            <w:pPr>
              <w:spacing w:before="0"/>
              <w:rPr>
                <w:noProof/>
                <w:sz w:val="20"/>
                <w:szCs w:val="20"/>
                <w:lang w:eastAsia="en-GB"/>
              </w:rPr>
            </w:pPr>
            <w:r w:rsidRPr="001C6207">
              <w:rPr>
                <w:noProof/>
                <w:sz w:val="20"/>
                <w:szCs w:val="20"/>
                <w:lang w:eastAsia="en-GB"/>
              </w:rPr>
              <w:t xml:space="preserve">The authorisation of biocidal products is subject to the </w:t>
            </w:r>
            <w:r w:rsidRPr="00A031DE">
              <w:rPr>
                <w:noProof/>
                <w:sz w:val="20"/>
                <w:szCs w:val="20"/>
                <w:lang w:eastAsia="en-GB"/>
              </w:rPr>
              <w:t>following conditions:</w:t>
            </w:r>
          </w:p>
          <w:p w14:paraId="372837C6" w14:textId="4D5508E3" w:rsidR="000A1C7B" w:rsidRPr="00546090" w:rsidRDefault="00D071F9" w:rsidP="00A350FE">
            <w:pPr>
              <w:pStyle w:val="ListParagraph"/>
              <w:numPr>
                <w:ilvl w:val="0"/>
                <w:numId w:val="11"/>
              </w:numPr>
              <w:autoSpaceDE w:val="0"/>
              <w:autoSpaceDN w:val="0"/>
              <w:adjustRightInd w:val="0"/>
              <w:spacing w:before="0" w:after="0"/>
              <w:rPr>
                <w:color w:val="000000"/>
                <w:sz w:val="20"/>
                <w:szCs w:val="20"/>
                <w:lang w:val="en-US"/>
              </w:rPr>
            </w:pPr>
            <w:r>
              <w:rPr>
                <w:color w:val="000000"/>
                <w:sz w:val="20"/>
                <w:szCs w:val="20"/>
                <w:lang w:val="en-US"/>
              </w:rPr>
              <w:t>t</w:t>
            </w:r>
            <w:r w:rsidR="000A1C7B" w:rsidRPr="00546090">
              <w:rPr>
                <w:color w:val="000000"/>
                <w:sz w:val="20"/>
                <w:szCs w:val="20"/>
                <w:lang w:val="en-US"/>
              </w:rPr>
              <w:t>he product assessment shall pay particular attention to the exposures, the risks and the efficacy linked to any uses covered by an application for authorisation, but not addressed in the Union level risk assessment of the active substance</w:t>
            </w:r>
            <w:r>
              <w:rPr>
                <w:color w:val="000000"/>
                <w:sz w:val="20"/>
                <w:szCs w:val="20"/>
                <w:lang w:val="en-US"/>
              </w:rPr>
              <w:t>;</w:t>
            </w:r>
          </w:p>
          <w:p w14:paraId="1CF0723C" w14:textId="5242C09C" w:rsidR="000A1C7B" w:rsidRPr="00546090" w:rsidRDefault="00D071F9" w:rsidP="00A350FE">
            <w:pPr>
              <w:pStyle w:val="ListParagraph"/>
              <w:numPr>
                <w:ilvl w:val="0"/>
                <w:numId w:val="11"/>
              </w:numPr>
              <w:autoSpaceDE w:val="0"/>
              <w:autoSpaceDN w:val="0"/>
              <w:adjustRightInd w:val="0"/>
              <w:spacing w:before="0" w:after="0"/>
              <w:rPr>
                <w:color w:val="000000"/>
                <w:sz w:val="20"/>
                <w:szCs w:val="20"/>
                <w:lang w:val="en-US"/>
              </w:rPr>
            </w:pPr>
            <w:r>
              <w:rPr>
                <w:color w:val="000000"/>
                <w:sz w:val="20"/>
                <w:szCs w:val="20"/>
                <w:lang w:val="en-US"/>
              </w:rPr>
              <w:t>t</w:t>
            </w:r>
            <w:r w:rsidR="000A1C7B" w:rsidRPr="00546090">
              <w:rPr>
                <w:color w:val="000000"/>
                <w:sz w:val="20"/>
                <w:szCs w:val="20"/>
                <w:lang w:val="en-US"/>
              </w:rPr>
              <w:t>he product assessment shall pay particular attention to:</w:t>
            </w:r>
          </w:p>
          <w:p w14:paraId="4F5B3054" w14:textId="6885D6C8" w:rsidR="000A1C7B" w:rsidRPr="003E5E19" w:rsidRDefault="000A1C7B" w:rsidP="00D21EEC">
            <w:pPr>
              <w:pStyle w:val="ListParagraph"/>
              <w:numPr>
                <w:ilvl w:val="1"/>
                <w:numId w:val="14"/>
              </w:numPr>
              <w:autoSpaceDE w:val="0"/>
              <w:autoSpaceDN w:val="0"/>
              <w:adjustRightInd w:val="0"/>
              <w:spacing w:before="0" w:after="0"/>
              <w:rPr>
                <w:color w:val="000000"/>
                <w:sz w:val="20"/>
                <w:szCs w:val="20"/>
                <w:lang w:val="en-US"/>
              </w:rPr>
            </w:pPr>
            <w:r w:rsidRPr="008F7FC7">
              <w:rPr>
                <w:sz w:val="20"/>
                <w:szCs w:val="20"/>
              </w:rPr>
              <w:t>professional users;</w:t>
            </w:r>
          </w:p>
          <w:p w14:paraId="718DAF83" w14:textId="249398DC" w:rsidR="003E5E19" w:rsidRPr="008F7FC7" w:rsidRDefault="003E5E19" w:rsidP="00D21EEC">
            <w:pPr>
              <w:pStyle w:val="ListParagraph"/>
              <w:numPr>
                <w:ilvl w:val="1"/>
                <w:numId w:val="14"/>
              </w:numPr>
              <w:autoSpaceDE w:val="0"/>
              <w:autoSpaceDN w:val="0"/>
              <w:adjustRightInd w:val="0"/>
              <w:spacing w:before="0" w:after="0"/>
              <w:rPr>
                <w:color w:val="000000"/>
                <w:sz w:val="20"/>
                <w:szCs w:val="20"/>
                <w:lang w:val="en-US"/>
              </w:rPr>
            </w:pPr>
            <w:r w:rsidRPr="008F7FC7">
              <w:rPr>
                <w:color w:val="000000"/>
                <w:sz w:val="20"/>
                <w:szCs w:val="20"/>
                <w:lang w:val="en-US"/>
              </w:rPr>
              <w:t>the secondary</w:t>
            </w:r>
            <w:r w:rsidRPr="001C6207">
              <w:rPr>
                <w:color w:val="000000"/>
                <w:sz w:val="20"/>
                <w:szCs w:val="20"/>
                <w:lang w:val="en-US"/>
              </w:rPr>
              <w:t xml:space="preserve"> exposure of </w:t>
            </w:r>
            <w:r>
              <w:rPr>
                <w:color w:val="000000"/>
                <w:sz w:val="20"/>
                <w:szCs w:val="20"/>
                <w:lang w:val="en-US"/>
              </w:rPr>
              <w:t xml:space="preserve">the </w:t>
            </w:r>
            <w:r w:rsidRPr="001C6207">
              <w:rPr>
                <w:color w:val="000000"/>
                <w:sz w:val="20"/>
                <w:szCs w:val="20"/>
                <w:lang w:val="en-US"/>
              </w:rPr>
              <w:t>general public</w:t>
            </w:r>
            <w:r>
              <w:rPr>
                <w:color w:val="000000"/>
                <w:sz w:val="20"/>
                <w:szCs w:val="20"/>
                <w:lang w:val="en-US"/>
              </w:rPr>
              <w:t>;</w:t>
            </w:r>
          </w:p>
          <w:p w14:paraId="17F815FD" w14:textId="454A6CE9" w:rsidR="001C6207" w:rsidRDefault="00D071F9" w:rsidP="00A350FE">
            <w:pPr>
              <w:pStyle w:val="ListParagraph"/>
              <w:numPr>
                <w:ilvl w:val="0"/>
                <w:numId w:val="11"/>
              </w:numPr>
              <w:autoSpaceDE w:val="0"/>
              <w:autoSpaceDN w:val="0"/>
              <w:adjustRightInd w:val="0"/>
              <w:spacing w:before="0" w:after="0"/>
              <w:rPr>
                <w:color w:val="000000"/>
                <w:sz w:val="20"/>
                <w:szCs w:val="20"/>
                <w:lang w:val="en-US"/>
              </w:rPr>
            </w:pPr>
            <w:r>
              <w:rPr>
                <w:color w:val="000000"/>
                <w:sz w:val="20"/>
                <w:szCs w:val="20"/>
                <w:lang w:val="en-US"/>
              </w:rPr>
              <w:t>f</w:t>
            </w:r>
            <w:r w:rsidR="001C6207" w:rsidRPr="000546EC">
              <w:rPr>
                <w:color w:val="000000"/>
                <w:sz w:val="20"/>
                <w:szCs w:val="20"/>
                <w:lang w:val="en-US"/>
              </w:rPr>
              <w:t xml:space="preserve">or products that may lead to residues in food or feed, </w:t>
            </w:r>
            <w:r w:rsidR="00A34FDE">
              <w:rPr>
                <w:color w:val="000000"/>
                <w:sz w:val="20"/>
                <w:szCs w:val="20"/>
                <w:lang w:val="en-US"/>
              </w:rPr>
              <w:t xml:space="preserve">it shall be </w:t>
            </w:r>
            <w:r w:rsidR="009C257A">
              <w:rPr>
                <w:color w:val="000000"/>
                <w:sz w:val="20"/>
                <w:szCs w:val="20"/>
                <w:lang w:val="en-US"/>
              </w:rPr>
              <w:t>assessed</w:t>
            </w:r>
            <w:r w:rsidR="00A34FDE">
              <w:rPr>
                <w:color w:val="000000"/>
                <w:sz w:val="20"/>
                <w:szCs w:val="20"/>
                <w:lang w:val="en-US"/>
              </w:rPr>
              <w:t xml:space="preserve"> whether </w:t>
            </w:r>
            <w:r w:rsidR="001C6207" w:rsidRPr="000546EC">
              <w:rPr>
                <w:color w:val="000000"/>
                <w:sz w:val="20"/>
                <w:szCs w:val="20"/>
                <w:lang w:val="en-US"/>
              </w:rPr>
              <w:t xml:space="preserve">new maximum residue levels (MRLs) </w:t>
            </w:r>
            <w:r w:rsidR="00A34FDE">
              <w:rPr>
                <w:color w:val="000000"/>
                <w:sz w:val="20"/>
                <w:szCs w:val="20"/>
                <w:lang w:val="en-US"/>
              </w:rPr>
              <w:t xml:space="preserve">need to be set or the existing MRLs </w:t>
            </w:r>
            <w:r w:rsidR="00A34FDE">
              <w:rPr>
                <w:color w:val="000000"/>
                <w:sz w:val="20"/>
                <w:szCs w:val="20"/>
                <w:lang w:val="en-US"/>
              </w:rPr>
              <w:lastRenderedPageBreak/>
              <w:t xml:space="preserve">need to be </w:t>
            </w:r>
            <w:r w:rsidR="003E5E19">
              <w:rPr>
                <w:color w:val="000000"/>
                <w:sz w:val="20"/>
                <w:szCs w:val="20"/>
                <w:lang w:val="en-US"/>
              </w:rPr>
              <w:t>amended</w:t>
            </w:r>
            <w:r w:rsidR="002E5922">
              <w:rPr>
                <w:color w:val="000000"/>
                <w:sz w:val="20"/>
                <w:szCs w:val="20"/>
                <w:lang w:val="en-US"/>
              </w:rPr>
              <w:t xml:space="preserve"> </w:t>
            </w:r>
            <w:r w:rsidR="001C6207" w:rsidRPr="000546EC">
              <w:rPr>
                <w:color w:val="000000"/>
                <w:sz w:val="20"/>
                <w:szCs w:val="20"/>
                <w:lang w:val="en-US"/>
              </w:rPr>
              <w:t>in accordance with Regulation (EC) No 396/2005</w:t>
            </w:r>
            <w:r w:rsidR="0066023C" w:rsidRPr="0066023C">
              <w:rPr>
                <w:rStyle w:val="FootnoteReference"/>
                <w:noProof/>
                <w:color w:val="000000"/>
                <w:sz w:val="20"/>
                <w:szCs w:val="20"/>
                <w:lang w:eastAsia="en-GB"/>
              </w:rPr>
              <w:footnoteReference w:id="2"/>
            </w:r>
            <w:r w:rsidR="001C6207" w:rsidRPr="000546EC">
              <w:rPr>
                <w:color w:val="000000"/>
                <w:sz w:val="20"/>
                <w:szCs w:val="20"/>
                <w:lang w:val="en-US"/>
              </w:rPr>
              <w:t xml:space="preserve"> </w:t>
            </w:r>
            <w:r w:rsidR="00E00AE0">
              <w:rPr>
                <w:color w:val="000000"/>
                <w:sz w:val="20"/>
                <w:szCs w:val="20"/>
                <w:lang w:val="en-US"/>
              </w:rPr>
              <w:t xml:space="preserve">or Regulation </w:t>
            </w:r>
            <w:r w:rsidR="00E00AE0" w:rsidRPr="00E00AE0">
              <w:rPr>
                <w:color w:val="000000"/>
                <w:sz w:val="20"/>
                <w:szCs w:val="20"/>
                <w:lang w:val="en-US"/>
              </w:rPr>
              <w:t>(EC) No 470/2009</w:t>
            </w:r>
            <w:r w:rsidR="00E00AE0" w:rsidRPr="00D01622">
              <w:rPr>
                <w:rStyle w:val="FootnoteReference"/>
                <w:b/>
                <w:noProof/>
                <w:color w:val="000000"/>
                <w:sz w:val="20"/>
                <w:szCs w:val="20"/>
                <w:lang w:eastAsia="en-GB"/>
              </w:rPr>
              <w:footnoteReference w:id="3"/>
            </w:r>
            <w:r w:rsidR="00E00AE0">
              <w:rPr>
                <w:color w:val="000000"/>
                <w:sz w:val="20"/>
                <w:szCs w:val="20"/>
                <w:lang w:val="en-US"/>
              </w:rPr>
              <w:t xml:space="preserve"> </w:t>
            </w:r>
            <w:r w:rsidRPr="000546EC">
              <w:rPr>
                <w:color w:val="000000"/>
                <w:sz w:val="20"/>
                <w:szCs w:val="20"/>
                <w:lang w:val="en-US"/>
              </w:rPr>
              <w:t xml:space="preserve">of the European Parliament and of the </w:t>
            </w:r>
            <w:r w:rsidRPr="0066023C">
              <w:rPr>
                <w:color w:val="000000"/>
                <w:sz w:val="20"/>
                <w:szCs w:val="20"/>
                <w:lang w:val="en-US"/>
              </w:rPr>
              <w:t>Council</w:t>
            </w:r>
            <w:r w:rsidR="001C6207" w:rsidRPr="000546EC">
              <w:rPr>
                <w:color w:val="000000"/>
                <w:sz w:val="20"/>
                <w:szCs w:val="20"/>
                <w:lang w:val="en-US"/>
              </w:rPr>
              <w:t>, and any appropriate risk mitigation measures shall be taken to ensure that the applicable MRLs are not exceeded.</w:t>
            </w:r>
          </w:p>
          <w:p w14:paraId="1EFD347E" w14:textId="2DEA7E32" w:rsidR="0061319D" w:rsidRPr="000546EC" w:rsidRDefault="0061319D" w:rsidP="0061319D">
            <w:pPr>
              <w:pStyle w:val="ListParagraph"/>
              <w:autoSpaceDE w:val="0"/>
              <w:autoSpaceDN w:val="0"/>
              <w:adjustRightInd w:val="0"/>
              <w:spacing w:before="0" w:after="0"/>
              <w:rPr>
                <w:color w:val="000000"/>
                <w:sz w:val="20"/>
                <w:szCs w:val="20"/>
                <w:lang w:val="en-US"/>
              </w:rPr>
            </w:pPr>
          </w:p>
        </w:tc>
      </w:tr>
      <w:tr w:rsidR="00D0017A" w:rsidRPr="00777D78" w14:paraId="081DD0E0" w14:textId="77777777" w:rsidTr="000A1C7B">
        <w:trPr>
          <w:trHeight w:val="2394"/>
          <w:jc w:val="center"/>
        </w:trPr>
        <w:tc>
          <w:tcPr>
            <w:tcW w:w="1568" w:type="dxa"/>
            <w:vMerge/>
          </w:tcPr>
          <w:p w14:paraId="3BA5AD46" w14:textId="77777777" w:rsidR="00D0017A" w:rsidRPr="0042379E" w:rsidRDefault="00D0017A" w:rsidP="0042379E">
            <w:pPr>
              <w:spacing w:before="40" w:after="40" w:line="276" w:lineRule="auto"/>
              <w:jc w:val="left"/>
              <w:rPr>
                <w:bCs/>
                <w:sz w:val="20"/>
                <w:szCs w:val="20"/>
              </w:rPr>
            </w:pPr>
          </w:p>
        </w:tc>
        <w:tc>
          <w:tcPr>
            <w:tcW w:w="1984" w:type="dxa"/>
            <w:vMerge/>
          </w:tcPr>
          <w:p w14:paraId="5DF51CDC" w14:textId="77777777" w:rsidR="00D0017A" w:rsidRPr="0088352A" w:rsidRDefault="00D0017A" w:rsidP="0042379E">
            <w:pPr>
              <w:spacing w:before="40" w:after="240" w:line="276" w:lineRule="auto"/>
              <w:jc w:val="left"/>
              <w:rPr>
                <w:noProof/>
                <w:sz w:val="20"/>
                <w:szCs w:val="20"/>
                <w:highlight w:val="yellow"/>
                <w:lang w:eastAsia="en-GB"/>
              </w:rPr>
            </w:pPr>
          </w:p>
        </w:tc>
        <w:tc>
          <w:tcPr>
            <w:tcW w:w="2552" w:type="dxa"/>
            <w:vMerge/>
            <w:shd w:val="clear" w:color="auto" w:fill="FFFFFF"/>
          </w:tcPr>
          <w:p w14:paraId="1F611A3C" w14:textId="77777777" w:rsidR="00D0017A" w:rsidRPr="0042379E" w:rsidRDefault="00D0017A" w:rsidP="006849DB">
            <w:pPr>
              <w:numPr>
                <w:ilvl w:val="0"/>
                <w:numId w:val="9"/>
              </w:numPr>
              <w:autoSpaceDE w:val="0"/>
              <w:autoSpaceDN w:val="0"/>
              <w:adjustRightInd w:val="0"/>
              <w:spacing w:before="0" w:after="0"/>
              <w:jc w:val="left"/>
              <w:rPr>
                <w:color w:val="000000"/>
                <w:sz w:val="20"/>
                <w:szCs w:val="20"/>
                <w:lang w:val="en-US"/>
              </w:rPr>
            </w:pPr>
          </w:p>
        </w:tc>
        <w:tc>
          <w:tcPr>
            <w:tcW w:w="1134" w:type="dxa"/>
            <w:vMerge/>
            <w:shd w:val="clear" w:color="auto" w:fill="FFFFFF"/>
          </w:tcPr>
          <w:p w14:paraId="6B38425E" w14:textId="77777777" w:rsidR="00D0017A" w:rsidRPr="0088352A" w:rsidRDefault="00D0017A" w:rsidP="0042379E">
            <w:pPr>
              <w:spacing w:before="40" w:after="40" w:line="276" w:lineRule="auto"/>
              <w:jc w:val="center"/>
              <w:rPr>
                <w:noProof/>
                <w:sz w:val="20"/>
                <w:szCs w:val="20"/>
                <w:highlight w:val="yellow"/>
                <w:lang w:eastAsia="en-GB"/>
              </w:rPr>
            </w:pPr>
          </w:p>
        </w:tc>
        <w:tc>
          <w:tcPr>
            <w:tcW w:w="1134" w:type="dxa"/>
            <w:vMerge/>
            <w:shd w:val="clear" w:color="auto" w:fill="FFFFFF"/>
          </w:tcPr>
          <w:p w14:paraId="6856F06E" w14:textId="77777777" w:rsidR="00D0017A" w:rsidRPr="0088352A" w:rsidRDefault="00D0017A" w:rsidP="0042379E">
            <w:pPr>
              <w:spacing w:before="40" w:after="40" w:line="276" w:lineRule="auto"/>
              <w:jc w:val="center"/>
              <w:rPr>
                <w:noProof/>
                <w:sz w:val="20"/>
                <w:szCs w:val="20"/>
                <w:highlight w:val="yellow"/>
                <w:lang w:eastAsia="en-GB"/>
              </w:rPr>
            </w:pPr>
          </w:p>
        </w:tc>
        <w:tc>
          <w:tcPr>
            <w:tcW w:w="926" w:type="dxa"/>
          </w:tcPr>
          <w:p w14:paraId="6A529588" w14:textId="21D510D7" w:rsidR="00D0017A" w:rsidRDefault="00D0017A" w:rsidP="0042379E">
            <w:pPr>
              <w:spacing w:before="40" w:after="40" w:line="276" w:lineRule="auto"/>
              <w:jc w:val="center"/>
              <w:outlineLvl w:val="1"/>
              <w:rPr>
                <w:rFonts w:eastAsia="Calibri"/>
                <w:noProof/>
                <w:sz w:val="20"/>
                <w:szCs w:val="20"/>
                <w:lang w:eastAsia="en-GB"/>
              </w:rPr>
            </w:pPr>
            <w:r>
              <w:rPr>
                <w:rFonts w:eastAsia="Calibri"/>
                <w:noProof/>
                <w:sz w:val="20"/>
                <w:szCs w:val="20"/>
                <w:lang w:eastAsia="en-GB"/>
              </w:rPr>
              <w:t>5</w:t>
            </w:r>
          </w:p>
        </w:tc>
        <w:tc>
          <w:tcPr>
            <w:tcW w:w="5288" w:type="dxa"/>
          </w:tcPr>
          <w:p w14:paraId="31BB31B9" w14:textId="6000262F" w:rsidR="000A1C7B" w:rsidRPr="002F5808" w:rsidRDefault="000A1C7B" w:rsidP="000A1C7B">
            <w:pPr>
              <w:spacing w:before="0"/>
              <w:rPr>
                <w:noProof/>
                <w:sz w:val="20"/>
                <w:szCs w:val="20"/>
                <w:lang w:eastAsia="en-GB"/>
              </w:rPr>
            </w:pPr>
            <w:r w:rsidRPr="0042379E">
              <w:rPr>
                <w:noProof/>
                <w:sz w:val="20"/>
                <w:szCs w:val="20"/>
                <w:lang w:eastAsia="en-GB"/>
              </w:rPr>
              <w:t xml:space="preserve">The authorisation of biocidal products is subject to the </w:t>
            </w:r>
            <w:r w:rsidRPr="002F5808">
              <w:rPr>
                <w:noProof/>
                <w:sz w:val="20"/>
                <w:szCs w:val="20"/>
                <w:lang w:eastAsia="en-GB"/>
              </w:rPr>
              <w:t>following conditions:</w:t>
            </w:r>
          </w:p>
          <w:p w14:paraId="756F4751" w14:textId="6C4FDDBE" w:rsidR="000A1C7B" w:rsidRPr="00F92FC4" w:rsidRDefault="00E00AE0" w:rsidP="003E5E19">
            <w:pPr>
              <w:pStyle w:val="ListParagraph"/>
              <w:numPr>
                <w:ilvl w:val="0"/>
                <w:numId w:val="12"/>
              </w:numPr>
              <w:autoSpaceDE w:val="0"/>
              <w:autoSpaceDN w:val="0"/>
              <w:adjustRightInd w:val="0"/>
              <w:spacing w:before="0" w:after="0"/>
              <w:rPr>
                <w:color w:val="000000"/>
                <w:sz w:val="20"/>
                <w:szCs w:val="20"/>
                <w:lang w:val="en-US"/>
              </w:rPr>
            </w:pPr>
            <w:r>
              <w:rPr>
                <w:color w:val="000000"/>
                <w:sz w:val="20"/>
                <w:szCs w:val="20"/>
                <w:lang w:val="en-US"/>
              </w:rPr>
              <w:t>t</w:t>
            </w:r>
            <w:r w:rsidR="000A1C7B" w:rsidRPr="00F92FC4">
              <w:rPr>
                <w:color w:val="000000"/>
                <w:sz w:val="20"/>
                <w:szCs w:val="20"/>
                <w:lang w:val="en-US"/>
              </w:rPr>
              <w:t>he product assessment shall pay particular attention to the exposures, the risks and the efficacy linked to any uses covered by an application for authorisation, but not addressed in the Union level risk assessment of the active substance</w:t>
            </w:r>
            <w:r w:rsidR="004F7E08">
              <w:rPr>
                <w:color w:val="000000"/>
                <w:sz w:val="20"/>
                <w:szCs w:val="20"/>
                <w:lang w:val="en-US"/>
              </w:rPr>
              <w:t>;</w:t>
            </w:r>
          </w:p>
          <w:p w14:paraId="490FE8B5" w14:textId="5A725C82" w:rsidR="000A1C7B" w:rsidRPr="00F92FC4" w:rsidRDefault="004F7E08" w:rsidP="003E5E19">
            <w:pPr>
              <w:pStyle w:val="ListParagraph"/>
              <w:numPr>
                <w:ilvl w:val="0"/>
                <w:numId w:val="12"/>
              </w:numPr>
              <w:autoSpaceDE w:val="0"/>
              <w:autoSpaceDN w:val="0"/>
              <w:adjustRightInd w:val="0"/>
              <w:spacing w:before="0" w:after="0"/>
              <w:rPr>
                <w:color w:val="000000"/>
                <w:sz w:val="20"/>
                <w:szCs w:val="20"/>
                <w:lang w:val="en-US"/>
              </w:rPr>
            </w:pPr>
            <w:r>
              <w:rPr>
                <w:color w:val="000000"/>
                <w:sz w:val="20"/>
                <w:szCs w:val="20"/>
                <w:lang w:val="en-US"/>
              </w:rPr>
              <w:t>t</w:t>
            </w:r>
            <w:r w:rsidR="000A1C7B" w:rsidRPr="00F92FC4">
              <w:rPr>
                <w:color w:val="000000"/>
                <w:sz w:val="20"/>
                <w:szCs w:val="20"/>
                <w:lang w:val="en-US"/>
              </w:rPr>
              <w:t>he product assessment shall pay particular attention to:</w:t>
            </w:r>
          </w:p>
          <w:p w14:paraId="025F5262" w14:textId="77777777" w:rsidR="000A1C7B" w:rsidRPr="00F92FC4" w:rsidRDefault="000A1C7B" w:rsidP="003E5E19">
            <w:pPr>
              <w:pStyle w:val="ListParagraph"/>
              <w:numPr>
                <w:ilvl w:val="1"/>
                <w:numId w:val="12"/>
              </w:numPr>
              <w:autoSpaceDE w:val="0"/>
              <w:autoSpaceDN w:val="0"/>
              <w:adjustRightInd w:val="0"/>
              <w:spacing w:before="0" w:after="0"/>
              <w:rPr>
                <w:color w:val="000000"/>
                <w:sz w:val="20"/>
                <w:szCs w:val="20"/>
                <w:lang w:val="en-US"/>
              </w:rPr>
            </w:pPr>
            <w:r w:rsidRPr="00F92FC4">
              <w:rPr>
                <w:sz w:val="20"/>
                <w:szCs w:val="20"/>
              </w:rPr>
              <w:t>professional user</w:t>
            </w:r>
            <w:r>
              <w:rPr>
                <w:sz w:val="20"/>
                <w:szCs w:val="20"/>
              </w:rPr>
              <w:t>s;</w:t>
            </w:r>
          </w:p>
          <w:p w14:paraId="1DE818ED" w14:textId="30425C76" w:rsidR="000A1C7B" w:rsidRPr="00F92FC4" w:rsidRDefault="000A1C7B" w:rsidP="003E5E19">
            <w:pPr>
              <w:pStyle w:val="ListParagraph"/>
              <w:numPr>
                <w:ilvl w:val="1"/>
                <w:numId w:val="12"/>
              </w:numPr>
              <w:autoSpaceDE w:val="0"/>
              <w:autoSpaceDN w:val="0"/>
              <w:adjustRightInd w:val="0"/>
              <w:spacing w:before="0" w:after="0"/>
              <w:rPr>
                <w:color w:val="000000"/>
                <w:sz w:val="20"/>
                <w:szCs w:val="20"/>
                <w:lang w:val="en-US"/>
              </w:rPr>
            </w:pPr>
            <w:r>
              <w:rPr>
                <w:color w:val="000000"/>
                <w:sz w:val="20"/>
                <w:szCs w:val="20"/>
                <w:lang w:val="en-US"/>
              </w:rPr>
              <w:t xml:space="preserve">the secondary exposure of </w:t>
            </w:r>
            <w:r w:rsidR="00781A72">
              <w:rPr>
                <w:color w:val="000000"/>
                <w:sz w:val="20"/>
                <w:szCs w:val="20"/>
                <w:lang w:val="en-US"/>
              </w:rPr>
              <w:t xml:space="preserve">the </w:t>
            </w:r>
            <w:r>
              <w:rPr>
                <w:color w:val="000000"/>
                <w:sz w:val="20"/>
                <w:szCs w:val="20"/>
                <w:lang w:val="en-US"/>
              </w:rPr>
              <w:t>general public</w:t>
            </w:r>
            <w:r w:rsidR="004F7E08">
              <w:rPr>
                <w:color w:val="000000"/>
                <w:sz w:val="20"/>
                <w:szCs w:val="20"/>
                <w:lang w:val="en-US"/>
              </w:rPr>
              <w:t>;</w:t>
            </w:r>
          </w:p>
          <w:p w14:paraId="4C6A6B7D" w14:textId="4DC4AC3B" w:rsidR="003E5E19" w:rsidRDefault="003E5E19" w:rsidP="003E5E19">
            <w:pPr>
              <w:pStyle w:val="ListParagraph"/>
              <w:numPr>
                <w:ilvl w:val="0"/>
                <w:numId w:val="12"/>
              </w:numPr>
              <w:autoSpaceDE w:val="0"/>
              <w:autoSpaceDN w:val="0"/>
              <w:adjustRightInd w:val="0"/>
              <w:spacing w:before="0" w:after="0"/>
              <w:rPr>
                <w:color w:val="000000"/>
                <w:sz w:val="20"/>
                <w:szCs w:val="20"/>
                <w:lang w:val="en-US"/>
              </w:rPr>
            </w:pPr>
            <w:r>
              <w:rPr>
                <w:color w:val="000000"/>
                <w:sz w:val="20"/>
                <w:szCs w:val="20"/>
                <w:lang w:val="en-US"/>
              </w:rPr>
              <w:t>f</w:t>
            </w:r>
            <w:r w:rsidRPr="000546EC">
              <w:rPr>
                <w:color w:val="000000"/>
                <w:sz w:val="20"/>
                <w:szCs w:val="20"/>
                <w:lang w:val="en-US"/>
              </w:rPr>
              <w:t xml:space="preserve">or products that may lead to residues in food or feed, </w:t>
            </w:r>
            <w:r>
              <w:rPr>
                <w:color w:val="000000"/>
                <w:sz w:val="20"/>
                <w:szCs w:val="20"/>
                <w:lang w:val="en-US"/>
              </w:rPr>
              <w:t xml:space="preserve">it shall be assessed whether </w:t>
            </w:r>
            <w:r w:rsidRPr="000546EC">
              <w:rPr>
                <w:color w:val="000000"/>
                <w:sz w:val="20"/>
                <w:szCs w:val="20"/>
                <w:lang w:val="en-US"/>
              </w:rPr>
              <w:t xml:space="preserve">new maximum residue levels (MRLs) </w:t>
            </w:r>
            <w:r>
              <w:rPr>
                <w:color w:val="000000"/>
                <w:sz w:val="20"/>
                <w:szCs w:val="20"/>
                <w:lang w:val="en-US"/>
              </w:rPr>
              <w:t xml:space="preserve">need to be set or the existing MRLs need to be amended </w:t>
            </w:r>
            <w:r w:rsidRPr="000546EC">
              <w:rPr>
                <w:color w:val="000000"/>
                <w:sz w:val="20"/>
                <w:szCs w:val="20"/>
                <w:lang w:val="en-US"/>
              </w:rPr>
              <w:t xml:space="preserve">in accordance with Regulation (EC) No 396/2005 </w:t>
            </w:r>
            <w:r>
              <w:rPr>
                <w:color w:val="000000"/>
                <w:sz w:val="20"/>
                <w:szCs w:val="20"/>
                <w:lang w:val="en-US"/>
              </w:rPr>
              <w:t xml:space="preserve">or Regulation </w:t>
            </w:r>
            <w:r w:rsidRPr="00E00AE0">
              <w:rPr>
                <w:color w:val="000000"/>
                <w:sz w:val="20"/>
                <w:szCs w:val="20"/>
                <w:lang w:val="en-US"/>
              </w:rPr>
              <w:t>(EC) No 470/2009</w:t>
            </w:r>
            <w:r>
              <w:rPr>
                <w:color w:val="000000"/>
                <w:sz w:val="20"/>
                <w:szCs w:val="20"/>
                <w:lang w:val="en-US"/>
              </w:rPr>
              <w:t xml:space="preserve"> </w:t>
            </w:r>
            <w:r w:rsidRPr="000546EC">
              <w:rPr>
                <w:color w:val="000000"/>
                <w:sz w:val="20"/>
                <w:szCs w:val="20"/>
                <w:lang w:val="en-US"/>
              </w:rPr>
              <w:t xml:space="preserve">of the European Parliament and of the </w:t>
            </w:r>
            <w:r w:rsidRPr="0066023C">
              <w:rPr>
                <w:color w:val="000000"/>
                <w:sz w:val="20"/>
                <w:szCs w:val="20"/>
                <w:lang w:val="en-US"/>
              </w:rPr>
              <w:t>Council</w:t>
            </w:r>
            <w:r w:rsidRPr="000546EC">
              <w:rPr>
                <w:color w:val="000000"/>
                <w:sz w:val="20"/>
                <w:szCs w:val="20"/>
                <w:lang w:val="en-US"/>
              </w:rPr>
              <w:t>, and any appropriate risk mitigation measures shall be taken to ensure that the applicable MRLs are not exceeded.</w:t>
            </w:r>
          </w:p>
          <w:p w14:paraId="7D3F7FFC" w14:textId="7D90F074" w:rsidR="00546090" w:rsidRPr="000A1C7B" w:rsidRDefault="00546090" w:rsidP="000546EC">
            <w:pPr>
              <w:pStyle w:val="ListParagraph"/>
              <w:autoSpaceDE w:val="0"/>
              <w:autoSpaceDN w:val="0"/>
              <w:adjustRightInd w:val="0"/>
              <w:spacing w:before="0" w:after="0"/>
              <w:rPr>
                <w:noProof/>
                <w:sz w:val="20"/>
                <w:szCs w:val="20"/>
                <w:lang w:val="en-US" w:eastAsia="en-GB"/>
              </w:rPr>
            </w:pPr>
          </w:p>
        </w:tc>
      </w:tr>
      <w:tr w:rsidR="00D0017A" w:rsidRPr="00777D78" w14:paraId="63794EE1" w14:textId="77777777" w:rsidTr="000546EC">
        <w:trPr>
          <w:trHeight w:val="476"/>
          <w:jc w:val="center"/>
        </w:trPr>
        <w:tc>
          <w:tcPr>
            <w:tcW w:w="1568" w:type="dxa"/>
            <w:vMerge/>
          </w:tcPr>
          <w:p w14:paraId="600D4FFF" w14:textId="77777777" w:rsidR="00D0017A" w:rsidRPr="0042379E" w:rsidRDefault="00D0017A" w:rsidP="0042379E">
            <w:pPr>
              <w:spacing w:before="40" w:after="40" w:line="276" w:lineRule="auto"/>
              <w:jc w:val="left"/>
              <w:rPr>
                <w:bCs/>
                <w:sz w:val="20"/>
                <w:szCs w:val="20"/>
              </w:rPr>
            </w:pPr>
          </w:p>
        </w:tc>
        <w:tc>
          <w:tcPr>
            <w:tcW w:w="1984" w:type="dxa"/>
            <w:vMerge/>
          </w:tcPr>
          <w:p w14:paraId="79C2D515" w14:textId="77777777" w:rsidR="00D0017A" w:rsidRPr="0088352A" w:rsidRDefault="00D0017A" w:rsidP="0042379E">
            <w:pPr>
              <w:spacing w:before="40" w:after="240" w:line="276" w:lineRule="auto"/>
              <w:jc w:val="left"/>
              <w:rPr>
                <w:noProof/>
                <w:sz w:val="20"/>
                <w:szCs w:val="20"/>
                <w:highlight w:val="yellow"/>
                <w:lang w:eastAsia="en-GB"/>
              </w:rPr>
            </w:pPr>
          </w:p>
        </w:tc>
        <w:tc>
          <w:tcPr>
            <w:tcW w:w="2552" w:type="dxa"/>
            <w:vMerge/>
            <w:shd w:val="clear" w:color="auto" w:fill="FFFFFF"/>
          </w:tcPr>
          <w:p w14:paraId="42757E11" w14:textId="77777777" w:rsidR="00D0017A" w:rsidRPr="0042379E" w:rsidRDefault="00D0017A" w:rsidP="006849DB">
            <w:pPr>
              <w:numPr>
                <w:ilvl w:val="0"/>
                <w:numId w:val="9"/>
              </w:numPr>
              <w:autoSpaceDE w:val="0"/>
              <w:autoSpaceDN w:val="0"/>
              <w:adjustRightInd w:val="0"/>
              <w:spacing w:before="0" w:after="0"/>
              <w:jc w:val="left"/>
              <w:rPr>
                <w:color w:val="000000"/>
                <w:sz w:val="20"/>
                <w:szCs w:val="20"/>
                <w:lang w:val="en-US"/>
              </w:rPr>
            </w:pPr>
          </w:p>
        </w:tc>
        <w:tc>
          <w:tcPr>
            <w:tcW w:w="1134" w:type="dxa"/>
            <w:vMerge/>
            <w:shd w:val="clear" w:color="auto" w:fill="FFFFFF"/>
          </w:tcPr>
          <w:p w14:paraId="30721A55" w14:textId="77777777" w:rsidR="00D0017A" w:rsidRPr="0088352A" w:rsidRDefault="00D0017A" w:rsidP="0042379E">
            <w:pPr>
              <w:spacing w:before="40" w:after="40" w:line="276" w:lineRule="auto"/>
              <w:jc w:val="center"/>
              <w:rPr>
                <w:noProof/>
                <w:sz w:val="20"/>
                <w:szCs w:val="20"/>
                <w:highlight w:val="yellow"/>
                <w:lang w:eastAsia="en-GB"/>
              </w:rPr>
            </w:pPr>
          </w:p>
        </w:tc>
        <w:tc>
          <w:tcPr>
            <w:tcW w:w="1134" w:type="dxa"/>
            <w:vMerge/>
            <w:shd w:val="clear" w:color="auto" w:fill="FFFFFF"/>
          </w:tcPr>
          <w:p w14:paraId="246905A6" w14:textId="77777777" w:rsidR="00D0017A" w:rsidRPr="0088352A" w:rsidRDefault="00D0017A" w:rsidP="0042379E">
            <w:pPr>
              <w:spacing w:before="40" w:after="40" w:line="276" w:lineRule="auto"/>
              <w:jc w:val="center"/>
              <w:rPr>
                <w:noProof/>
                <w:sz w:val="20"/>
                <w:szCs w:val="20"/>
                <w:highlight w:val="yellow"/>
                <w:lang w:eastAsia="en-GB"/>
              </w:rPr>
            </w:pPr>
          </w:p>
        </w:tc>
        <w:tc>
          <w:tcPr>
            <w:tcW w:w="926" w:type="dxa"/>
          </w:tcPr>
          <w:p w14:paraId="6C0A71D1" w14:textId="1262FFDD" w:rsidR="00D0017A" w:rsidRDefault="00D0017A" w:rsidP="0042379E">
            <w:pPr>
              <w:spacing w:before="40" w:after="40" w:line="276" w:lineRule="auto"/>
              <w:jc w:val="center"/>
              <w:outlineLvl w:val="1"/>
              <w:rPr>
                <w:rFonts w:eastAsia="Calibri"/>
                <w:noProof/>
                <w:sz w:val="20"/>
                <w:szCs w:val="20"/>
                <w:lang w:eastAsia="en-GB"/>
              </w:rPr>
            </w:pPr>
            <w:r>
              <w:rPr>
                <w:rFonts w:eastAsia="Calibri"/>
                <w:noProof/>
                <w:sz w:val="20"/>
                <w:szCs w:val="20"/>
                <w:lang w:eastAsia="en-GB"/>
              </w:rPr>
              <w:t>11</w:t>
            </w:r>
          </w:p>
        </w:tc>
        <w:tc>
          <w:tcPr>
            <w:tcW w:w="5288" w:type="dxa"/>
          </w:tcPr>
          <w:p w14:paraId="6E82DEFC" w14:textId="69973259" w:rsidR="00EB7D95" w:rsidRPr="002F5808" w:rsidRDefault="00EB7D95" w:rsidP="00EB7D95">
            <w:pPr>
              <w:spacing w:before="0"/>
              <w:rPr>
                <w:noProof/>
                <w:sz w:val="20"/>
                <w:szCs w:val="20"/>
                <w:lang w:eastAsia="en-GB"/>
              </w:rPr>
            </w:pPr>
            <w:r w:rsidRPr="0042379E">
              <w:rPr>
                <w:noProof/>
                <w:sz w:val="20"/>
                <w:szCs w:val="20"/>
                <w:lang w:eastAsia="en-GB"/>
              </w:rPr>
              <w:t xml:space="preserve">The authorisation of biocidal products is subject to the </w:t>
            </w:r>
            <w:r w:rsidRPr="002F5808">
              <w:rPr>
                <w:noProof/>
                <w:sz w:val="20"/>
                <w:szCs w:val="20"/>
                <w:lang w:eastAsia="en-GB"/>
              </w:rPr>
              <w:t>following conditions:</w:t>
            </w:r>
          </w:p>
          <w:p w14:paraId="2DB16B79" w14:textId="6B44D560" w:rsidR="00EB7D95" w:rsidRPr="00F92FC4" w:rsidRDefault="004F7E08" w:rsidP="00A350FE">
            <w:pPr>
              <w:pStyle w:val="ListParagraph"/>
              <w:numPr>
                <w:ilvl w:val="0"/>
                <w:numId w:val="13"/>
              </w:numPr>
              <w:autoSpaceDE w:val="0"/>
              <w:autoSpaceDN w:val="0"/>
              <w:adjustRightInd w:val="0"/>
              <w:spacing w:before="0" w:after="0"/>
              <w:rPr>
                <w:color w:val="000000"/>
                <w:sz w:val="20"/>
                <w:szCs w:val="20"/>
                <w:lang w:val="en-US"/>
              </w:rPr>
            </w:pPr>
            <w:r>
              <w:rPr>
                <w:color w:val="000000"/>
                <w:sz w:val="20"/>
                <w:szCs w:val="20"/>
                <w:lang w:val="en-US"/>
              </w:rPr>
              <w:t>t</w:t>
            </w:r>
            <w:r w:rsidR="00EB7D95" w:rsidRPr="00F92FC4">
              <w:rPr>
                <w:color w:val="000000"/>
                <w:sz w:val="20"/>
                <w:szCs w:val="20"/>
                <w:lang w:val="en-US"/>
              </w:rPr>
              <w:t>he product assessment shall pay particular attention to the exposures, the risks and the efficacy linked to any uses covered by an application for authorisation, but not addressed in the Union level risk assessment of the active substance</w:t>
            </w:r>
            <w:r>
              <w:rPr>
                <w:color w:val="000000"/>
                <w:sz w:val="20"/>
                <w:szCs w:val="20"/>
                <w:lang w:val="en-US"/>
              </w:rPr>
              <w:t>;</w:t>
            </w:r>
          </w:p>
          <w:p w14:paraId="0A74D99A" w14:textId="3205CE2A" w:rsidR="00EB7D95" w:rsidRPr="00F92FC4" w:rsidRDefault="004F7E08" w:rsidP="00A350FE">
            <w:pPr>
              <w:pStyle w:val="ListParagraph"/>
              <w:numPr>
                <w:ilvl w:val="0"/>
                <w:numId w:val="13"/>
              </w:numPr>
              <w:autoSpaceDE w:val="0"/>
              <w:autoSpaceDN w:val="0"/>
              <w:adjustRightInd w:val="0"/>
              <w:spacing w:before="0" w:after="0"/>
              <w:rPr>
                <w:color w:val="000000"/>
                <w:sz w:val="20"/>
                <w:szCs w:val="20"/>
                <w:lang w:val="en-US"/>
              </w:rPr>
            </w:pPr>
            <w:r>
              <w:rPr>
                <w:color w:val="000000"/>
                <w:sz w:val="20"/>
                <w:szCs w:val="20"/>
                <w:lang w:val="en-US"/>
              </w:rPr>
              <w:t>t</w:t>
            </w:r>
            <w:r w:rsidR="00EB7D95" w:rsidRPr="00F92FC4">
              <w:rPr>
                <w:color w:val="000000"/>
                <w:sz w:val="20"/>
                <w:szCs w:val="20"/>
                <w:lang w:val="en-US"/>
              </w:rPr>
              <w:t>he product assessment shall pay particular attention to:</w:t>
            </w:r>
          </w:p>
          <w:p w14:paraId="236CD0FA" w14:textId="5067903E" w:rsidR="00EB7D95" w:rsidRPr="00EB7D95" w:rsidRDefault="00EB7D95" w:rsidP="00A350FE">
            <w:pPr>
              <w:pStyle w:val="ListParagraph"/>
              <w:numPr>
                <w:ilvl w:val="1"/>
                <w:numId w:val="13"/>
              </w:numPr>
              <w:autoSpaceDE w:val="0"/>
              <w:autoSpaceDN w:val="0"/>
              <w:adjustRightInd w:val="0"/>
              <w:spacing w:before="0" w:after="0"/>
              <w:rPr>
                <w:color w:val="000000"/>
                <w:sz w:val="20"/>
                <w:szCs w:val="20"/>
                <w:lang w:val="en-US"/>
              </w:rPr>
            </w:pPr>
            <w:r w:rsidRPr="00F92FC4">
              <w:rPr>
                <w:sz w:val="20"/>
                <w:szCs w:val="20"/>
              </w:rPr>
              <w:t>professional user</w:t>
            </w:r>
            <w:r>
              <w:rPr>
                <w:sz w:val="20"/>
                <w:szCs w:val="20"/>
              </w:rPr>
              <w:t>s;</w:t>
            </w:r>
          </w:p>
          <w:p w14:paraId="7518EECB" w14:textId="2A4704E2" w:rsidR="00EB7D95" w:rsidRPr="00F92FC4" w:rsidRDefault="00EB7D95" w:rsidP="00A350FE">
            <w:pPr>
              <w:pStyle w:val="ListParagraph"/>
              <w:numPr>
                <w:ilvl w:val="1"/>
                <w:numId w:val="13"/>
              </w:numPr>
              <w:autoSpaceDE w:val="0"/>
              <w:autoSpaceDN w:val="0"/>
              <w:adjustRightInd w:val="0"/>
              <w:spacing w:before="0" w:after="0"/>
              <w:rPr>
                <w:color w:val="000000"/>
                <w:sz w:val="20"/>
                <w:szCs w:val="20"/>
                <w:lang w:val="en-US"/>
              </w:rPr>
            </w:pPr>
            <w:r w:rsidRPr="00EB7D95">
              <w:rPr>
                <w:color w:val="000000"/>
                <w:sz w:val="20"/>
                <w:szCs w:val="20"/>
                <w:lang w:val="en-US"/>
              </w:rPr>
              <w:t>surface water following direct discharge of treated cooling water.</w:t>
            </w:r>
          </w:p>
          <w:p w14:paraId="67BD47D3" w14:textId="77777777" w:rsidR="00D0017A" w:rsidRPr="00EB7D95" w:rsidRDefault="00D0017A" w:rsidP="0042379E">
            <w:pPr>
              <w:spacing w:before="0"/>
              <w:rPr>
                <w:noProof/>
                <w:sz w:val="20"/>
                <w:szCs w:val="20"/>
                <w:lang w:val="en-US" w:eastAsia="en-GB"/>
              </w:rPr>
            </w:pPr>
          </w:p>
        </w:tc>
      </w:tr>
    </w:tbl>
    <w:p w14:paraId="6BFD3162" w14:textId="2A26C45F" w:rsidR="001C2816" w:rsidRPr="00D6069E" w:rsidRDefault="001C2816" w:rsidP="00777D78"/>
    <w:sectPr w:rsidR="001C2816" w:rsidRPr="00D6069E" w:rsidSect="00FF5DF2">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BE79" w16cex:dateUtc="2022-12-19T09:42:00Z"/>
  <w16cex:commentExtensible w16cex:durableId="276FE3C4" w16cex:dateUtc="2023-01-16T13:55:00Z"/>
  <w16cex:commentExtensible w16cex:durableId="276FE468" w16cex:dateUtc="2023-01-16T13:57:00Z"/>
  <w16cex:commentExtensible w16cex:durableId="276FE4D4" w16cex:dateUtc="2023-01-16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F6A70" w16cid:durableId="274ABE79"/>
  <w16cid:commentId w16cid:paraId="078BA18F" w16cid:durableId="276FDD02"/>
  <w16cid:commentId w16cid:paraId="06FEF723" w16cid:durableId="276FDD03"/>
  <w16cid:commentId w16cid:paraId="2C863925" w16cid:durableId="276FDD04"/>
  <w16cid:commentId w16cid:paraId="488CD066" w16cid:durableId="276FE3C4"/>
  <w16cid:commentId w16cid:paraId="2658D4C8" w16cid:durableId="276FDD05"/>
  <w16cid:commentId w16cid:paraId="54B2F640" w16cid:durableId="276FE468"/>
  <w16cid:commentId w16cid:paraId="7D5288CA" w16cid:durableId="276FDD06"/>
  <w16cid:commentId w16cid:paraId="2EAC8B28" w16cid:durableId="276FE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A330" w14:textId="77777777" w:rsidR="00777D78" w:rsidRDefault="00777D78" w:rsidP="00777D78">
      <w:pPr>
        <w:spacing w:before="0" w:after="0"/>
      </w:pPr>
      <w:r>
        <w:separator/>
      </w:r>
    </w:p>
  </w:endnote>
  <w:endnote w:type="continuationSeparator" w:id="0">
    <w:p w14:paraId="37E4DC28" w14:textId="77777777" w:rsidR="00777D78" w:rsidRDefault="00777D78" w:rsidP="00777D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FF53" w14:textId="77777777" w:rsidR="00FF5DF2" w:rsidRPr="00FF5DF2" w:rsidRDefault="00FF5DF2" w:rsidP="00FF5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C7A4" w14:textId="46B1ADCF" w:rsidR="00F92FC4" w:rsidRPr="00FF5DF2" w:rsidRDefault="00FF5DF2" w:rsidP="00FF5DF2">
    <w:pPr>
      <w:pStyle w:val="Footer"/>
      <w:rPr>
        <w:rFonts w:ascii="Arial" w:hAnsi="Arial" w:cs="Arial"/>
        <w:b/>
        <w:sz w:val="48"/>
      </w:rPr>
    </w:pPr>
    <w:r w:rsidRPr="00FF5DF2">
      <w:rPr>
        <w:rFonts w:ascii="Arial" w:hAnsi="Arial" w:cs="Arial"/>
        <w:b/>
        <w:sz w:val="48"/>
      </w:rPr>
      <w:t>EN</w:t>
    </w:r>
    <w:r w:rsidRPr="00FF5DF2">
      <w:rPr>
        <w:rFonts w:ascii="Arial" w:hAnsi="Arial" w:cs="Arial"/>
        <w:b/>
        <w:sz w:val="48"/>
      </w:rPr>
      <w:tab/>
    </w:r>
    <w:r w:rsidRPr="00FF5DF2">
      <w:rPr>
        <w:rFonts w:ascii="Arial" w:hAnsi="Arial" w:cs="Arial"/>
        <w:b/>
        <w:sz w:val="48"/>
      </w:rPr>
      <w:tab/>
    </w:r>
    <w:r w:rsidRPr="00FF5DF2">
      <w:tab/>
    </w:r>
    <w:r w:rsidRPr="00FF5DF2">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930" w14:textId="77777777" w:rsidR="00FF5DF2" w:rsidRPr="00FF5DF2" w:rsidRDefault="00FF5DF2" w:rsidP="00FF5D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159C" w14:textId="69148F7E" w:rsidR="00FF5DF2" w:rsidRPr="00FF5DF2" w:rsidRDefault="00FF5DF2" w:rsidP="00FF5DF2">
    <w:pPr>
      <w:pStyle w:val="FooterLandscape"/>
      <w:rPr>
        <w:rFonts w:ascii="Arial" w:hAnsi="Arial" w:cs="Arial"/>
        <w:b/>
        <w:sz w:val="48"/>
      </w:rPr>
    </w:pPr>
    <w:r w:rsidRPr="00FF5DF2">
      <w:rPr>
        <w:rFonts w:ascii="Arial" w:hAnsi="Arial" w:cs="Arial"/>
        <w:b/>
        <w:sz w:val="48"/>
      </w:rPr>
      <w:t>EN</w:t>
    </w:r>
    <w:r w:rsidRPr="00FF5DF2">
      <w:rPr>
        <w:rFonts w:ascii="Arial" w:hAnsi="Arial" w:cs="Arial"/>
        <w:b/>
        <w:sz w:val="48"/>
      </w:rPr>
      <w:tab/>
    </w:r>
    <w:r>
      <w:fldChar w:fldCharType="begin"/>
    </w:r>
    <w:r>
      <w:instrText xml:space="preserve"> PAGE  \* MERGEFORMAT </w:instrText>
    </w:r>
    <w:r>
      <w:fldChar w:fldCharType="separate"/>
    </w:r>
    <w:r w:rsidR="00B92C7D">
      <w:rPr>
        <w:noProof/>
      </w:rPr>
      <w:t>1</w:t>
    </w:r>
    <w:r>
      <w:fldChar w:fldCharType="end"/>
    </w:r>
    <w:r>
      <w:tab/>
    </w:r>
    <w:r w:rsidRPr="00FF5DF2">
      <w:tab/>
    </w:r>
    <w:r w:rsidRPr="00FF5DF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5D84" w14:textId="77777777" w:rsidR="00FF5DF2" w:rsidRPr="00FF5DF2" w:rsidRDefault="00FF5DF2" w:rsidP="00FF5DF2">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A6F70" w14:textId="77777777" w:rsidR="00777D78" w:rsidRDefault="00777D78" w:rsidP="00777D78">
      <w:pPr>
        <w:spacing w:before="0" w:after="0"/>
      </w:pPr>
      <w:r>
        <w:separator/>
      </w:r>
    </w:p>
  </w:footnote>
  <w:footnote w:type="continuationSeparator" w:id="0">
    <w:p w14:paraId="61D94384" w14:textId="77777777" w:rsidR="00777D78" w:rsidRDefault="00777D78" w:rsidP="00777D78">
      <w:pPr>
        <w:spacing w:before="0" w:after="0"/>
      </w:pPr>
      <w:r>
        <w:continuationSeparator/>
      </w:r>
    </w:p>
  </w:footnote>
  <w:footnote w:id="1">
    <w:p w14:paraId="51ECA2B4" w14:textId="2C0DEEFB" w:rsidR="005A4DB9" w:rsidRPr="005A4DB9" w:rsidRDefault="00777D78" w:rsidP="00777D78">
      <w:pPr>
        <w:pStyle w:val="FootnoteText"/>
        <w:rPr>
          <w:lang w:val="en-IE"/>
        </w:rPr>
      </w:pPr>
      <w:r w:rsidRPr="0007287B">
        <w:rPr>
          <w:rStyle w:val="FootnoteReference"/>
        </w:rPr>
        <w:footnoteRef/>
      </w:r>
      <w:r>
        <w:tab/>
      </w:r>
      <w:r w:rsidR="0007287B">
        <w:t>T</w:t>
      </w:r>
      <w:r>
        <w:t>he purity indicated in this column was the minimum degree of purity of the active substance evaluated. The active substance in the product placed on the market can be of equal or different purity if it has been proven to be technically equivalent to</w:t>
      </w:r>
      <w:r w:rsidR="0007287B">
        <w:t xml:space="preserve"> the evaluated active </w:t>
      </w:r>
      <w:r w:rsidR="00FF1C52">
        <w:t>substance.</w:t>
      </w:r>
      <w:r w:rsidR="005A4DB9">
        <w:tab/>
      </w:r>
    </w:p>
  </w:footnote>
  <w:footnote w:id="2">
    <w:p w14:paraId="03891859" w14:textId="77777777" w:rsidR="0066023C" w:rsidRPr="00BF2888" w:rsidRDefault="0066023C" w:rsidP="0066023C">
      <w:pPr>
        <w:pStyle w:val="FootnoteText"/>
      </w:pPr>
      <w:r w:rsidRPr="00DC2971">
        <w:rPr>
          <w:rStyle w:val="FootnoteReference"/>
        </w:rPr>
        <w:footnoteRef/>
      </w:r>
      <w:r>
        <w:tab/>
      </w:r>
      <w:r w:rsidRPr="00BF2888">
        <w:t>Regulation (EC) No 396/2005 of the European Parliament and of the Council of 23 February 2005 on maximum residue levels of pesticides in or on food and feed of plant and animal origin and amending Council Directive 91/414/EEC (O</w:t>
      </w:r>
      <w:r>
        <w:t>J L 70, 16.3.2005, p. 1).</w:t>
      </w:r>
    </w:p>
  </w:footnote>
  <w:footnote w:id="3">
    <w:p w14:paraId="4C16AD7B" w14:textId="41A0DE3A" w:rsidR="00E00AE0" w:rsidRPr="0007287B" w:rsidRDefault="00E00AE0" w:rsidP="00E00AE0">
      <w:pPr>
        <w:pStyle w:val="FootnoteText"/>
        <w:rPr>
          <w:lang w:val="en-IE"/>
        </w:rPr>
      </w:pPr>
      <w:r w:rsidRPr="00DC2971">
        <w:rPr>
          <w:rStyle w:val="FootnoteReference"/>
        </w:rPr>
        <w:footnoteRef/>
      </w:r>
      <w:r>
        <w:tab/>
      </w:r>
      <w:r w:rsidRPr="005A4DB9">
        <w:t>Regulation (EC) No 470/2009 of the European Parliament and of the Council of 6 May 2009 laying down Community procedures for the establishment of residue limits of pharmacologically active substances in foodstuffs of animal origin</w:t>
      </w:r>
      <w:r>
        <w:t>,</w:t>
      </w:r>
      <w:r w:rsidRPr="005A4DB9">
        <w:t xml:space="preserve"> repealing Council Regulation (EEC) No 2377/90 and amending Directive 2001/82/EC of the European Parliament and of the Council and Regulation (EC) </w:t>
      </w:r>
      <w:r w:rsidRPr="008B5489">
        <w:t>No 726/2004 of the</w:t>
      </w:r>
      <w:r w:rsidRPr="005A4DB9">
        <w:t xml:space="preserve"> European Parliament and of the Council (OJ L 152, 16.6.2009, p.</w:t>
      </w:r>
      <w:r w:rsidR="00C3572E">
        <w:t xml:space="preserve"> </w:t>
      </w:r>
      <w:r w:rsidRPr="005A4DB9">
        <w:t>11)</w:t>
      </w:r>
      <w:r>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F1BB" w14:textId="77777777" w:rsidR="00FF5DF2" w:rsidRPr="00FF5DF2" w:rsidRDefault="00FF5DF2" w:rsidP="00FF5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5724" w14:textId="77777777" w:rsidR="00FF5DF2" w:rsidRPr="00FF5DF2" w:rsidRDefault="00FF5DF2" w:rsidP="00FF5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0788" w14:textId="77777777" w:rsidR="00FF5DF2" w:rsidRPr="00FF5DF2" w:rsidRDefault="00FF5DF2" w:rsidP="00FF5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1DD2" w14:textId="77777777" w:rsidR="00FF5DF2" w:rsidRPr="00FF5DF2" w:rsidRDefault="00FF5DF2" w:rsidP="00FF5DF2">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561F" w14:textId="77777777" w:rsidR="00FF5DF2" w:rsidRPr="00FF5DF2" w:rsidRDefault="00FF5DF2" w:rsidP="00FF5DF2">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594AA9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92C309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D540EC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C16421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28EFF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256E02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F28B05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45E4DA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3321AB"/>
    <w:multiLevelType w:val="hybridMultilevel"/>
    <w:tmpl w:val="4F26F01A"/>
    <w:lvl w:ilvl="0" w:tplc="080C000F">
      <w:start w:val="1"/>
      <w:numFmt w:val="decimal"/>
      <w:lvlText w:val="%1."/>
      <w:lvlJc w:val="left"/>
      <w:pPr>
        <w:ind w:left="720" w:hanging="360"/>
      </w:pPr>
    </w:lvl>
    <w:lvl w:ilvl="1" w:tplc="CB24DDE2">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6C32335"/>
    <w:multiLevelType w:val="hybridMultilevel"/>
    <w:tmpl w:val="1AFA6044"/>
    <w:lvl w:ilvl="0" w:tplc="E822FD7A">
      <w:start w:val="1"/>
      <w:numFmt w:val="lowerLetter"/>
      <w:lvlText w:val="(%1)"/>
      <w:lvlJc w:val="left"/>
      <w:pPr>
        <w:ind w:left="720" w:hanging="360"/>
      </w:pPr>
      <w:rPr>
        <w:rFonts w:hint="default"/>
      </w:rPr>
    </w:lvl>
    <w:lvl w:ilvl="1" w:tplc="CB24DDE2">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13D2421"/>
    <w:multiLevelType w:val="hybridMultilevel"/>
    <w:tmpl w:val="6A6C1BF6"/>
    <w:lvl w:ilvl="0" w:tplc="FFFFFFFF">
      <w:start w:val="1"/>
      <w:numFmt w:val="lowerLetter"/>
      <w:lvlText w:val="(%1)"/>
      <w:lvlJc w:val="left"/>
      <w:pPr>
        <w:ind w:left="720" w:hanging="360"/>
      </w:pPr>
      <w:rPr>
        <w:rFonts w:hint="default"/>
      </w:rPr>
    </w:lvl>
    <w:lvl w:ilvl="1" w:tplc="CB24DDE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A94787"/>
    <w:multiLevelType w:val="hybridMultilevel"/>
    <w:tmpl w:val="91FAC7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11B05A4"/>
    <w:multiLevelType w:val="hybridMultilevel"/>
    <w:tmpl w:val="84D0ACD6"/>
    <w:lvl w:ilvl="0" w:tplc="E822FD7A">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C106055"/>
    <w:multiLevelType w:val="hybridMultilevel"/>
    <w:tmpl w:val="5C020CF6"/>
    <w:lvl w:ilvl="0" w:tplc="E822FD7A">
      <w:start w:val="1"/>
      <w:numFmt w:val="lowerLetter"/>
      <w:lvlText w:val="(%1)"/>
      <w:lvlJc w:val="left"/>
      <w:pPr>
        <w:ind w:left="720" w:hanging="360"/>
      </w:pPr>
      <w:rPr>
        <w:rFonts w:hint="default"/>
      </w:rPr>
    </w:lvl>
    <w:lvl w:ilvl="1" w:tplc="CB24DDE2">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8"/>
  </w:num>
  <w:num w:numId="11">
    <w:abstractNumId w:val="24"/>
  </w:num>
  <w:num w:numId="12">
    <w:abstractNumId w:val="27"/>
  </w:num>
  <w:num w:numId="13">
    <w:abstractNumId w:val="9"/>
  </w:num>
  <w:num w:numId="14">
    <w:abstractNumId w:val="14"/>
  </w:num>
  <w:num w:numId="15">
    <w:abstractNumId w:val="23"/>
  </w:num>
  <w:num w:numId="16">
    <w:abstractNumId w:val="16"/>
  </w:num>
  <w:num w:numId="17">
    <w:abstractNumId w:val="26"/>
  </w:num>
  <w:num w:numId="18">
    <w:abstractNumId w:val="13"/>
  </w:num>
  <w:num w:numId="19">
    <w:abstractNumId w:val="17"/>
  </w:num>
  <w:num w:numId="20">
    <w:abstractNumId w:val="18"/>
  </w:num>
  <w:num w:numId="21">
    <w:abstractNumId w:val="11"/>
  </w:num>
  <w:num w:numId="22">
    <w:abstractNumId w:val="25"/>
  </w:num>
  <w:num w:numId="23">
    <w:abstractNumId w:val="10"/>
  </w:num>
  <w:num w:numId="24">
    <w:abstractNumId w:val="19"/>
  </w:num>
  <w:num w:numId="25">
    <w:abstractNumId w:val="21"/>
  </w:num>
  <w:num w:numId="26">
    <w:abstractNumId w:val="22"/>
  </w:num>
  <w:num w:numId="27">
    <w:abstractNumId w:val="12"/>
  </w:num>
  <w:num w:numId="28">
    <w:abstractNumId w:val="20"/>
  </w:num>
  <w:num w:numId="29">
    <w:abstractNumId w:val="28"/>
  </w:num>
  <w:num w:numId="30">
    <w:abstractNumId w:val="23"/>
  </w:num>
  <w:num w:numId="31">
    <w:abstractNumId w:val="16"/>
  </w:num>
  <w:num w:numId="32">
    <w:abstractNumId w:val="26"/>
  </w:num>
  <w:num w:numId="33">
    <w:abstractNumId w:val="13"/>
  </w:num>
  <w:num w:numId="34">
    <w:abstractNumId w:val="17"/>
  </w:num>
  <w:num w:numId="35">
    <w:abstractNumId w:val="18"/>
  </w:num>
  <w:num w:numId="36">
    <w:abstractNumId w:val="11"/>
  </w:num>
  <w:num w:numId="37">
    <w:abstractNumId w:val="25"/>
  </w:num>
  <w:num w:numId="38">
    <w:abstractNumId w:val="10"/>
  </w:num>
  <w:num w:numId="39">
    <w:abstractNumId w:val="19"/>
  </w:num>
  <w:num w:numId="40">
    <w:abstractNumId w:val="21"/>
  </w:num>
  <w:num w:numId="41">
    <w:abstractNumId w:val="22"/>
  </w:num>
  <w:num w:numId="42">
    <w:abstractNumId w:val="12"/>
  </w:num>
  <w:num w:numId="43">
    <w:abstractNumId w:val="20"/>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3-01-19 09:34:35"/>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065BF4E6-58BD-4CF9-A505-479DA957CF4B"/>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pproving ozone generated from oxygen as an active substance for use in biocidal products of product-types 2, 4, 5 and 11 in accordance with Regulation (EU) No 528/2012 of the European Parliament and of the Council"/>
    <w:docVar w:name="LW_OBJETACTEPRINCIPAL.CP" w:val="approving ozone generated from oxygen as an active substance for use in biocidal products of product-types 2, 4, 5 and 11 in accordance with Regulation (EU) No 528/2012 of the European Parliament and of the Council"/>
    <w:docVar w:name="LW_PART_NBR" w:val="1"/>
    <w:docVar w:name="LW_PART_NBR_TOTAL" w:val="1"/>
    <w:docVar w:name="LW_REF.INST.NEW" w:val="&lt;EMPTY&gt;"/>
    <w:docVar w:name="LW_REF.INST.NEW_ADOPTED" w:val="draft"/>
    <w:docVar w:name="LW_REF.INST.NEW_TEXT" w:val="(2023) XXX"/>
    <w:docVar w:name="LW_REF.INTERNE" w:val="SANTE/2561/2022 ANNEX (POOL/E4/2022/2561/2561-EN ANNEX.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
    <w:docVar w:name="LW_TYPEACTEPRINCIPAL.CP" w:val="COMMISSION IMPLEMENTING REGULATION (EU) .../..."/>
  </w:docVars>
  <w:rsids>
    <w:rsidRoot w:val="00777D78"/>
    <w:rsid w:val="00001A02"/>
    <w:rsid w:val="000101E7"/>
    <w:rsid w:val="00026BE0"/>
    <w:rsid w:val="00031A99"/>
    <w:rsid w:val="000546EC"/>
    <w:rsid w:val="00056A6E"/>
    <w:rsid w:val="0006631E"/>
    <w:rsid w:val="00066518"/>
    <w:rsid w:val="0007287B"/>
    <w:rsid w:val="00075E08"/>
    <w:rsid w:val="00091982"/>
    <w:rsid w:val="00094B10"/>
    <w:rsid w:val="000977B9"/>
    <w:rsid w:val="000A1C7B"/>
    <w:rsid w:val="000B7E4C"/>
    <w:rsid w:val="000C3FD1"/>
    <w:rsid w:val="000C5135"/>
    <w:rsid w:val="000C7D07"/>
    <w:rsid w:val="000D13D9"/>
    <w:rsid w:val="000D7581"/>
    <w:rsid w:val="000E110D"/>
    <w:rsid w:val="000E198E"/>
    <w:rsid w:val="000E5C1F"/>
    <w:rsid w:val="000E6BCB"/>
    <w:rsid w:val="001120A4"/>
    <w:rsid w:val="00122184"/>
    <w:rsid w:val="00127EB8"/>
    <w:rsid w:val="001C2816"/>
    <w:rsid w:val="001C4EB3"/>
    <w:rsid w:val="001C6207"/>
    <w:rsid w:val="001D6F25"/>
    <w:rsid w:val="001F23E8"/>
    <w:rsid w:val="00200A76"/>
    <w:rsid w:val="002030C0"/>
    <w:rsid w:val="00204665"/>
    <w:rsid w:val="00205507"/>
    <w:rsid w:val="00223D00"/>
    <w:rsid w:val="00224108"/>
    <w:rsid w:val="002477C9"/>
    <w:rsid w:val="00247EF0"/>
    <w:rsid w:val="00257D8B"/>
    <w:rsid w:val="002611D2"/>
    <w:rsid w:val="00283FB9"/>
    <w:rsid w:val="00296E21"/>
    <w:rsid w:val="002A06B8"/>
    <w:rsid w:val="002A1A74"/>
    <w:rsid w:val="002C56C2"/>
    <w:rsid w:val="002E5922"/>
    <w:rsid w:val="002F5808"/>
    <w:rsid w:val="00343069"/>
    <w:rsid w:val="00344EDF"/>
    <w:rsid w:val="00352E19"/>
    <w:rsid w:val="00394498"/>
    <w:rsid w:val="003B0945"/>
    <w:rsid w:val="003D1468"/>
    <w:rsid w:val="003D6D46"/>
    <w:rsid w:val="003E5E19"/>
    <w:rsid w:val="003F37D9"/>
    <w:rsid w:val="00406395"/>
    <w:rsid w:val="0042379E"/>
    <w:rsid w:val="00486D66"/>
    <w:rsid w:val="00492136"/>
    <w:rsid w:val="004B4EC5"/>
    <w:rsid w:val="004C5417"/>
    <w:rsid w:val="004D1206"/>
    <w:rsid w:val="004E5D2D"/>
    <w:rsid w:val="004F06CE"/>
    <w:rsid w:val="004F7D13"/>
    <w:rsid w:val="004F7E08"/>
    <w:rsid w:val="005076B9"/>
    <w:rsid w:val="00522EF5"/>
    <w:rsid w:val="005259CB"/>
    <w:rsid w:val="00546090"/>
    <w:rsid w:val="005617BF"/>
    <w:rsid w:val="0057782C"/>
    <w:rsid w:val="00580FB8"/>
    <w:rsid w:val="00583E10"/>
    <w:rsid w:val="005A4DB9"/>
    <w:rsid w:val="005A53E6"/>
    <w:rsid w:val="005B044F"/>
    <w:rsid w:val="005C2B04"/>
    <w:rsid w:val="005C7AC1"/>
    <w:rsid w:val="005D6166"/>
    <w:rsid w:val="005E6F08"/>
    <w:rsid w:val="005F27E3"/>
    <w:rsid w:val="0061319D"/>
    <w:rsid w:val="00617A51"/>
    <w:rsid w:val="0062343C"/>
    <w:rsid w:val="0063747B"/>
    <w:rsid w:val="00654FCA"/>
    <w:rsid w:val="0066023C"/>
    <w:rsid w:val="006614CE"/>
    <w:rsid w:val="00677223"/>
    <w:rsid w:val="006849DB"/>
    <w:rsid w:val="006B1F66"/>
    <w:rsid w:val="006C158B"/>
    <w:rsid w:val="006E3295"/>
    <w:rsid w:val="00717405"/>
    <w:rsid w:val="00731592"/>
    <w:rsid w:val="00733FFD"/>
    <w:rsid w:val="00753289"/>
    <w:rsid w:val="00761307"/>
    <w:rsid w:val="00761D40"/>
    <w:rsid w:val="007637C7"/>
    <w:rsid w:val="00777D78"/>
    <w:rsid w:val="00781A72"/>
    <w:rsid w:val="00791813"/>
    <w:rsid w:val="007A2A99"/>
    <w:rsid w:val="007C0F2B"/>
    <w:rsid w:val="00801CE0"/>
    <w:rsid w:val="0080698E"/>
    <w:rsid w:val="008115B5"/>
    <w:rsid w:val="00827826"/>
    <w:rsid w:val="00833A4E"/>
    <w:rsid w:val="008567D1"/>
    <w:rsid w:val="00856919"/>
    <w:rsid w:val="00864658"/>
    <w:rsid w:val="00874C62"/>
    <w:rsid w:val="0088352A"/>
    <w:rsid w:val="00890885"/>
    <w:rsid w:val="008B3703"/>
    <w:rsid w:val="008B5489"/>
    <w:rsid w:val="008C16C0"/>
    <w:rsid w:val="008C6107"/>
    <w:rsid w:val="008D07C1"/>
    <w:rsid w:val="008D3469"/>
    <w:rsid w:val="008F7FC7"/>
    <w:rsid w:val="0091780D"/>
    <w:rsid w:val="00946F29"/>
    <w:rsid w:val="00952BC1"/>
    <w:rsid w:val="00986B33"/>
    <w:rsid w:val="00987AD5"/>
    <w:rsid w:val="00990BDB"/>
    <w:rsid w:val="00996673"/>
    <w:rsid w:val="0099670E"/>
    <w:rsid w:val="00997B13"/>
    <w:rsid w:val="009C257A"/>
    <w:rsid w:val="009E6CE0"/>
    <w:rsid w:val="00A031DE"/>
    <w:rsid w:val="00A145EF"/>
    <w:rsid w:val="00A22A38"/>
    <w:rsid w:val="00A34FDE"/>
    <w:rsid w:val="00A350FE"/>
    <w:rsid w:val="00A43E98"/>
    <w:rsid w:val="00AA26C2"/>
    <w:rsid w:val="00AB4BCE"/>
    <w:rsid w:val="00AC0D6F"/>
    <w:rsid w:val="00AC68D4"/>
    <w:rsid w:val="00AE0B02"/>
    <w:rsid w:val="00B00119"/>
    <w:rsid w:val="00B2535F"/>
    <w:rsid w:val="00B711EC"/>
    <w:rsid w:val="00B72137"/>
    <w:rsid w:val="00B856AB"/>
    <w:rsid w:val="00B92C7D"/>
    <w:rsid w:val="00BA644E"/>
    <w:rsid w:val="00BB0CF3"/>
    <w:rsid w:val="00BB457B"/>
    <w:rsid w:val="00BC024F"/>
    <w:rsid w:val="00BC552C"/>
    <w:rsid w:val="00BD2201"/>
    <w:rsid w:val="00BD5AD6"/>
    <w:rsid w:val="00BF17AA"/>
    <w:rsid w:val="00BF2888"/>
    <w:rsid w:val="00BF2BF2"/>
    <w:rsid w:val="00BF5932"/>
    <w:rsid w:val="00C006B2"/>
    <w:rsid w:val="00C0337E"/>
    <w:rsid w:val="00C110D6"/>
    <w:rsid w:val="00C16FC8"/>
    <w:rsid w:val="00C24556"/>
    <w:rsid w:val="00C3496D"/>
    <w:rsid w:val="00C3572E"/>
    <w:rsid w:val="00C42F75"/>
    <w:rsid w:val="00C549B4"/>
    <w:rsid w:val="00C56D7F"/>
    <w:rsid w:val="00C62040"/>
    <w:rsid w:val="00C71ED4"/>
    <w:rsid w:val="00C84790"/>
    <w:rsid w:val="00D0017A"/>
    <w:rsid w:val="00D01622"/>
    <w:rsid w:val="00D02688"/>
    <w:rsid w:val="00D071F9"/>
    <w:rsid w:val="00D07CB5"/>
    <w:rsid w:val="00D10FC7"/>
    <w:rsid w:val="00D21EEC"/>
    <w:rsid w:val="00D23322"/>
    <w:rsid w:val="00D41646"/>
    <w:rsid w:val="00D4534B"/>
    <w:rsid w:val="00D556B9"/>
    <w:rsid w:val="00D6069E"/>
    <w:rsid w:val="00DA13B2"/>
    <w:rsid w:val="00DA56B4"/>
    <w:rsid w:val="00DC2971"/>
    <w:rsid w:val="00DE2AD1"/>
    <w:rsid w:val="00DE7DA6"/>
    <w:rsid w:val="00DF5EF2"/>
    <w:rsid w:val="00E00AE0"/>
    <w:rsid w:val="00E17C06"/>
    <w:rsid w:val="00E46970"/>
    <w:rsid w:val="00E73405"/>
    <w:rsid w:val="00E736B5"/>
    <w:rsid w:val="00E7397F"/>
    <w:rsid w:val="00E8088C"/>
    <w:rsid w:val="00E871BC"/>
    <w:rsid w:val="00E97AD7"/>
    <w:rsid w:val="00EB7D95"/>
    <w:rsid w:val="00ED2688"/>
    <w:rsid w:val="00ED36C9"/>
    <w:rsid w:val="00EE71EC"/>
    <w:rsid w:val="00EF3FF8"/>
    <w:rsid w:val="00F426F0"/>
    <w:rsid w:val="00F561ED"/>
    <w:rsid w:val="00F60E06"/>
    <w:rsid w:val="00F92FC4"/>
    <w:rsid w:val="00FA1A09"/>
    <w:rsid w:val="00FF1C52"/>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BB809AB"/>
  <w15:docId w15:val="{A37A9BDC-C580-401B-9982-37A3B40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7"/>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7"/>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7"/>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C42F75"/>
    <w:pPr>
      <w:numPr>
        <w:numId w:val="1"/>
      </w:numPr>
      <w:contextualSpacing/>
    </w:pPr>
  </w:style>
  <w:style w:type="paragraph" w:styleId="ListBullet2">
    <w:name w:val="List Bullet 2"/>
    <w:basedOn w:val="Normal"/>
    <w:uiPriority w:val="99"/>
    <w:semiHidden/>
    <w:unhideWhenUsed/>
    <w:rsid w:val="00C42F75"/>
    <w:pPr>
      <w:numPr>
        <w:numId w:val="2"/>
      </w:numPr>
      <w:contextualSpacing/>
    </w:pPr>
  </w:style>
  <w:style w:type="paragraph" w:styleId="ListBullet3">
    <w:name w:val="List Bullet 3"/>
    <w:basedOn w:val="Normal"/>
    <w:uiPriority w:val="99"/>
    <w:semiHidden/>
    <w:unhideWhenUsed/>
    <w:rsid w:val="00C42F75"/>
    <w:pPr>
      <w:numPr>
        <w:numId w:val="3"/>
      </w:numPr>
      <w:contextualSpacing/>
    </w:pPr>
  </w:style>
  <w:style w:type="paragraph" w:styleId="ListBullet4">
    <w:name w:val="List Bullet 4"/>
    <w:basedOn w:val="Normal"/>
    <w:uiPriority w:val="99"/>
    <w:semiHidden/>
    <w:unhideWhenUsed/>
    <w:rsid w:val="00C42F75"/>
    <w:pPr>
      <w:numPr>
        <w:numId w:val="4"/>
      </w:numPr>
      <w:contextualSpacing/>
    </w:pPr>
  </w:style>
  <w:style w:type="character" w:styleId="CommentReference">
    <w:name w:val="annotation reference"/>
    <w:basedOn w:val="DefaultParagraphFont"/>
    <w:uiPriority w:val="99"/>
    <w:semiHidden/>
    <w:unhideWhenUsed/>
    <w:rsid w:val="00122184"/>
    <w:rPr>
      <w:sz w:val="16"/>
      <w:szCs w:val="16"/>
    </w:rPr>
  </w:style>
  <w:style w:type="paragraph" w:styleId="CommentText">
    <w:name w:val="annotation text"/>
    <w:basedOn w:val="Normal"/>
    <w:link w:val="CommentTextChar"/>
    <w:uiPriority w:val="99"/>
    <w:unhideWhenUsed/>
    <w:rsid w:val="00122184"/>
    <w:rPr>
      <w:sz w:val="20"/>
      <w:szCs w:val="20"/>
    </w:rPr>
  </w:style>
  <w:style w:type="character" w:customStyle="1" w:styleId="CommentTextChar">
    <w:name w:val="Comment Text Char"/>
    <w:basedOn w:val="DefaultParagraphFont"/>
    <w:link w:val="CommentText"/>
    <w:uiPriority w:val="99"/>
    <w:rsid w:val="0012218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2184"/>
    <w:rPr>
      <w:b/>
      <w:bCs/>
    </w:rPr>
  </w:style>
  <w:style w:type="character" w:customStyle="1" w:styleId="CommentSubjectChar">
    <w:name w:val="Comment Subject Char"/>
    <w:basedOn w:val="CommentTextChar"/>
    <w:link w:val="CommentSubject"/>
    <w:uiPriority w:val="99"/>
    <w:semiHidden/>
    <w:rsid w:val="00122184"/>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2218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84"/>
    <w:rPr>
      <w:rFonts w:ascii="Segoe UI" w:hAnsi="Segoe UI" w:cs="Segoe UI"/>
      <w:sz w:val="18"/>
      <w:szCs w:val="18"/>
      <w:lang w:val="en-GB"/>
    </w:rPr>
  </w:style>
  <w:style w:type="paragraph" w:styleId="Caption">
    <w:name w:val="caption"/>
    <w:basedOn w:val="Normal"/>
    <w:next w:val="Normal"/>
    <w:uiPriority w:val="35"/>
    <w:semiHidden/>
    <w:unhideWhenUsed/>
    <w:qFormat/>
    <w:rsid w:val="00C84790"/>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C84790"/>
    <w:pPr>
      <w:spacing w:after="0"/>
    </w:pPr>
  </w:style>
  <w:style w:type="paragraph" w:styleId="ListNumber">
    <w:name w:val="List Number"/>
    <w:basedOn w:val="Normal"/>
    <w:uiPriority w:val="99"/>
    <w:semiHidden/>
    <w:unhideWhenUsed/>
    <w:rsid w:val="00C84790"/>
    <w:pPr>
      <w:numPr>
        <w:numId w:val="5"/>
      </w:numPr>
      <w:contextualSpacing/>
    </w:pPr>
  </w:style>
  <w:style w:type="paragraph" w:styleId="ListNumber2">
    <w:name w:val="List Number 2"/>
    <w:basedOn w:val="Normal"/>
    <w:uiPriority w:val="99"/>
    <w:semiHidden/>
    <w:unhideWhenUsed/>
    <w:rsid w:val="00C84790"/>
    <w:pPr>
      <w:numPr>
        <w:numId w:val="6"/>
      </w:numPr>
      <w:contextualSpacing/>
    </w:pPr>
  </w:style>
  <w:style w:type="paragraph" w:styleId="ListNumber3">
    <w:name w:val="List Number 3"/>
    <w:basedOn w:val="Normal"/>
    <w:uiPriority w:val="99"/>
    <w:semiHidden/>
    <w:unhideWhenUsed/>
    <w:rsid w:val="00C84790"/>
    <w:pPr>
      <w:numPr>
        <w:numId w:val="7"/>
      </w:numPr>
      <w:contextualSpacing/>
    </w:pPr>
  </w:style>
  <w:style w:type="paragraph" w:styleId="ListNumber4">
    <w:name w:val="List Number 4"/>
    <w:basedOn w:val="Normal"/>
    <w:uiPriority w:val="99"/>
    <w:semiHidden/>
    <w:unhideWhenUsed/>
    <w:rsid w:val="00C84790"/>
    <w:pPr>
      <w:numPr>
        <w:numId w:val="8"/>
      </w:numPr>
      <w:contextualSpacing/>
    </w:pPr>
  </w:style>
  <w:style w:type="character" w:styleId="Hyperlink">
    <w:name w:val="Hyperlink"/>
    <w:basedOn w:val="DefaultParagraphFont"/>
    <w:uiPriority w:val="99"/>
    <w:unhideWhenUsed/>
    <w:rsid w:val="00DC2971"/>
    <w:rPr>
      <w:color w:val="0000FF" w:themeColor="hyperlink"/>
      <w:u w:val="single"/>
    </w:rPr>
  </w:style>
  <w:style w:type="paragraph" w:customStyle="1" w:styleId="Default">
    <w:name w:val="Default"/>
    <w:rsid w:val="0088352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2379E"/>
    <w:pPr>
      <w:ind w:left="720"/>
      <w:contextualSpacing/>
    </w:pPr>
  </w:style>
  <w:style w:type="paragraph" w:styleId="Revision">
    <w:name w:val="Revision"/>
    <w:hidden/>
    <w:uiPriority w:val="99"/>
    <w:semiHidden/>
    <w:rsid w:val="002E5922"/>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Tiret5">
    <w:name w:val="Tiret 5"/>
    <w:basedOn w:val="Point5"/>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NumPar5">
    <w:name w:val="NumPar 5"/>
    <w:basedOn w:val="Normal"/>
    <w:next w:val="Text2"/>
    <w:pPr>
      <w:numPr>
        <w:ilvl w:val="4"/>
        <w:numId w:val="36"/>
      </w:numPr>
    </w:pPr>
  </w:style>
  <w:style w:type="paragraph" w:customStyle="1" w:styleId="NumPar6">
    <w:name w:val="NumPar 6"/>
    <w:basedOn w:val="Normal"/>
    <w:next w:val="Text2"/>
    <w:pPr>
      <w:numPr>
        <w:ilvl w:val="5"/>
        <w:numId w:val="36"/>
      </w:numPr>
    </w:pPr>
  </w:style>
  <w:style w:type="paragraph" w:customStyle="1" w:styleId="NumPar7">
    <w:name w:val="NumPar 7"/>
    <w:basedOn w:val="Normal"/>
    <w:next w:val="Text2"/>
    <w:pPr>
      <w:numPr>
        <w:ilvl w:val="6"/>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023">
      <w:bodyDiv w:val="1"/>
      <w:marLeft w:val="0"/>
      <w:marRight w:val="0"/>
      <w:marTop w:val="0"/>
      <w:marBottom w:val="0"/>
      <w:divBdr>
        <w:top w:val="none" w:sz="0" w:space="0" w:color="auto"/>
        <w:left w:val="none" w:sz="0" w:space="0" w:color="auto"/>
        <w:bottom w:val="none" w:sz="0" w:space="0" w:color="auto"/>
        <w:right w:val="none" w:sz="0" w:space="0" w:color="auto"/>
      </w:divBdr>
    </w:div>
    <w:div w:id="1590118094">
      <w:bodyDiv w:val="1"/>
      <w:marLeft w:val="0"/>
      <w:marRight w:val="0"/>
      <w:marTop w:val="0"/>
      <w:marBottom w:val="0"/>
      <w:divBdr>
        <w:top w:val="none" w:sz="0" w:space="0" w:color="auto"/>
        <w:left w:val="none" w:sz="0" w:space="0" w:color="auto"/>
        <w:bottom w:val="none" w:sz="0" w:space="0" w:color="auto"/>
        <w:right w:val="none" w:sz="0" w:space="0" w:color="auto"/>
      </w:divBdr>
    </w:div>
    <w:div w:id="16093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fdbef3ee50b1532340ce198a39db8051">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9995e571ff646e7c305483716c723bce"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D4C515-9FA2-43ED-B03D-7C615A569864}">
  <ds:schemaRefs>
    <ds:schemaRef ds:uri="http://schemas.microsoft.com/sharepoint/v3/contenttype/forms"/>
  </ds:schemaRefs>
</ds:datastoreItem>
</file>

<file path=customXml/itemProps2.xml><?xml version="1.0" encoding="utf-8"?>
<ds:datastoreItem xmlns:ds="http://schemas.openxmlformats.org/officeDocument/2006/customXml" ds:itemID="{2D84F03B-524F-4CDC-90BA-F98C96B8B226}">
  <ds:schemaRefs>
    <ds:schemaRef ds:uri="39d607b5-3019-4139-86e9-2e131faaff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79e0a09-5deb-44c7-a703-b352a170740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44D2CFC-08A8-4B89-B1D1-01DA6763E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57739-FE0F-4889-89E8-6FFE900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4</Pages>
  <Words>543</Words>
  <Characters>2900</Characters>
  <DocSecurity>0</DocSecurity>
  <Lines>138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dcterms:created xsi:type="dcterms:W3CDTF">2023-01-19T08:33:00Z</dcterms:created>
  <dcterms:modified xsi:type="dcterms:W3CDTF">2023-01-19T08:34:00Z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8.1, Build 20220902</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MSIP_Label_6bd9ddd1-4d20-43f6-abfa-fc3c07406f94_Enabled">
    <vt:lpwstr>true</vt:lpwstr>
  </property>
  <property fmtid="{D5CDD505-2E9C-101B-9397-08002B2CF9AE}" pid="14" name="MSIP_Label_6bd9ddd1-4d20-43f6-abfa-fc3c07406f94_SetDate">
    <vt:lpwstr>2022-04-16T09:48:55Z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4ebf8975-1282-4283-a5a4-bdf3fe24beea</vt:lpwstr>
  </property>
  <property fmtid="{D5CDD505-2E9C-101B-9397-08002B2CF9AE}" pid="19" name="MSIP_Label_6bd9ddd1-4d20-43f6-abfa-fc3c07406f94_ContentBits">
    <vt:lpwstr>0</vt:lpwstr>
  </property>
  <property fmtid="{D5CDD505-2E9C-101B-9397-08002B2CF9AE}" pid="20" name="ContentTypeId">
    <vt:lpwstr>0x010100258AA79CEB83498886A3A086811232500033285A78CCB54F4DA2ECE5FA2B2AF218</vt:lpwstr>
  </property>
  <property fmtid="{D5CDD505-2E9C-101B-9397-08002B2CF9AE}" pid="21" name="_CopySource">
    <vt:lpwstr>2022-2561_IR_App_Ozone_PT2,4,5,11_Annex.docx</vt:lpwstr>
  </property>
  <property fmtid="{D5CDD505-2E9C-101B-9397-08002B2CF9AE}" pid="22" name="DQCStatus">
    <vt:lpwstr>Green (DQC version 03)</vt:lpwstr>
  </property>
</Properties>
</file>